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宋体" w:hAnsi="宋体" w:eastAsia="宋体" w:cs="宋体"/>
          <w:b/>
          <w:bCs/>
          <w:sz w:val="40"/>
          <w:szCs w:val="40"/>
          <w:lang w:eastAsia="zh-CN"/>
        </w:rPr>
      </w:pPr>
      <w:r>
        <w:rPr>
          <w:rFonts w:hint="eastAsia" w:ascii="宋体" w:hAnsi="宋体" w:eastAsia="宋体" w:cs="宋体"/>
          <w:b/>
          <w:bCs/>
          <w:sz w:val="40"/>
          <w:szCs w:val="40"/>
          <w:lang w:eastAsia="zh-CN"/>
        </w:rPr>
        <w:t>G208二淅线洛阳绕城段改建工程造价咨询服务</w:t>
      </w:r>
    </w:p>
    <w:p>
      <w:pPr>
        <w:spacing w:line="360" w:lineRule="auto"/>
        <w:jc w:val="center"/>
        <w:rPr>
          <w:rFonts w:hint="eastAsia" w:ascii="宋体" w:hAnsi="宋体" w:eastAsia="宋体" w:cs="宋体"/>
          <w:sz w:val="24"/>
          <w:szCs w:val="24"/>
          <w:lang w:eastAsia="zh-CN"/>
        </w:rPr>
      </w:pPr>
      <w:r>
        <w:rPr>
          <w:rFonts w:hint="eastAsia" w:ascii="宋体" w:hAnsi="宋体" w:eastAsia="宋体" w:cs="宋体"/>
          <w:b/>
          <w:bCs/>
          <w:sz w:val="40"/>
          <w:szCs w:val="40"/>
          <w:lang w:eastAsia="zh-CN"/>
        </w:rPr>
        <w:t>成交公告</w:t>
      </w:r>
    </w:p>
    <w:p>
      <w:pPr>
        <w:spacing w:line="360" w:lineRule="auto"/>
        <w:rPr>
          <w:rFonts w:hint="eastAsia" w:ascii="宋体" w:hAnsi="宋体" w:eastAsia="宋体" w:cs="宋体"/>
          <w:sz w:val="24"/>
          <w:szCs w:val="24"/>
        </w:rPr>
      </w:pPr>
      <w:r>
        <w:rPr>
          <w:rFonts w:hint="eastAsia" w:ascii="宋体" w:hAnsi="宋体" w:eastAsia="宋体" w:cs="宋体"/>
          <w:sz w:val="24"/>
          <w:szCs w:val="24"/>
        </w:rPr>
        <w:t>一、项目基本情况</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rPr>
        <w:t>1、采购项目编号：</w:t>
      </w:r>
      <w:r>
        <w:rPr>
          <w:rFonts w:hint="eastAsia" w:ascii="宋体" w:hAnsi="宋体" w:eastAsia="宋体" w:cs="宋体"/>
          <w:sz w:val="24"/>
          <w:szCs w:val="24"/>
          <w:lang w:val="en-US" w:eastAsia="zh-CN"/>
        </w:rPr>
        <w:t>TLZB-F-2023-340</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rPr>
        <w:t>2、采购项目名称：</w:t>
      </w:r>
      <w:r>
        <w:rPr>
          <w:rFonts w:hint="eastAsia" w:ascii="宋体" w:hAnsi="宋体" w:eastAsia="宋体" w:cs="宋体"/>
          <w:sz w:val="24"/>
          <w:szCs w:val="24"/>
          <w:lang w:eastAsia="zh-CN"/>
        </w:rPr>
        <w:t>G208二淅线洛阳绕城段改建工程造价咨询服务</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3、采购方式：竞争性磋商</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4、采购公告发布日期：2023年</w:t>
      </w:r>
      <w:r>
        <w:rPr>
          <w:rFonts w:hint="eastAsia" w:ascii="宋体" w:hAnsi="宋体" w:eastAsia="宋体" w:cs="宋体"/>
          <w:sz w:val="24"/>
          <w:szCs w:val="24"/>
          <w:lang w:val="en-US" w:eastAsia="zh-CN"/>
        </w:rPr>
        <w:t>11</w:t>
      </w:r>
      <w:r>
        <w:rPr>
          <w:rFonts w:hint="eastAsia" w:ascii="宋体" w:hAnsi="宋体" w:eastAsia="宋体" w:cs="宋体"/>
          <w:sz w:val="24"/>
          <w:szCs w:val="24"/>
        </w:rPr>
        <w:t>月</w:t>
      </w:r>
      <w:r>
        <w:rPr>
          <w:rFonts w:hint="eastAsia" w:ascii="宋体" w:hAnsi="宋体" w:eastAsia="宋体" w:cs="宋体"/>
          <w:sz w:val="24"/>
          <w:szCs w:val="24"/>
          <w:lang w:val="en-US" w:eastAsia="zh-CN"/>
        </w:rPr>
        <w:t>07</w:t>
      </w:r>
      <w:r>
        <w:rPr>
          <w:rFonts w:hint="eastAsia" w:ascii="宋体" w:hAnsi="宋体" w:eastAsia="宋体" w:cs="宋体"/>
          <w:sz w:val="24"/>
          <w:szCs w:val="24"/>
        </w:rPr>
        <w:t>日</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5、评审日期：2023年</w:t>
      </w:r>
      <w:r>
        <w:rPr>
          <w:rFonts w:hint="eastAsia" w:ascii="宋体" w:hAnsi="宋体" w:eastAsia="宋体" w:cs="宋体"/>
          <w:sz w:val="24"/>
          <w:szCs w:val="24"/>
          <w:lang w:val="en-US" w:eastAsia="zh-CN"/>
        </w:rPr>
        <w:t>11</w:t>
      </w:r>
      <w:r>
        <w:rPr>
          <w:rFonts w:hint="eastAsia" w:ascii="宋体" w:hAnsi="宋体" w:eastAsia="宋体" w:cs="宋体"/>
          <w:sz w:val="24"/>
          <w:szCs w:val="24"/>
        </w:rPr>
        <w:t>月</w:t>
      </w:r>
      <w:r>
        <w:rPr>
          <w:rFonts w:hint="eastAsia" w:ascii="宋体" w:hAnsi="宋体" w:eastAsia="宋体" w:cs="宋体"/>
          <w:sz w:val="24"/>
          <w:szCs w:val="24"/>
          <w:lang w:val="en-US" w:eastAsia="zh-CN"/>
        </w:rPr>
        <w:t>20</w:t>
      </w:r>
      <w:r>
        <w:rPr>
          <w:rFonts w:hint="eastAsia" w:ascii="宋体" w:hAnsi="宋体" w:eastAsia="宋体" w:cs="宋体"/>
          <w:sz w:val="24"/>
          <w:szCs w:val="24"/>
        </w:rPr>
        <w:t>日</w:t>
      </w:r>
    </w:p>
    <w:p>
      <w:pPr>
        <w:spacing w:line="360" w:lineRule="auto"/>
        <w:rPr>
          <w:rFonts w:hint="eastAsia" w:ascii="宋体" w:hAnsi="宋体" w:eastAsia="宋体" w:cs="宋体"/>
          <w:sz w:val="24"/>
          <w:szCs w:val="24"/>
        </w:rPr>
      </w:pPr>
      <w:r>
        <w:rPr>
          <w:rFonts w:hint="eastAsia" w:ascii="宋体" w:hAnsi="宋体" w:eastAsia="宋体" w:cs="宋体"/>
          <w:sz w:val="24"/>
          <w:szCs w:val="24"/>
        </w:rPr>
        <w:t>二、成交情况</w:t>
      </w:r>
    </w:p>
    <w:tbl>
      <w:tblPr>
        <w:tblStyle w:val="7"/>
        <w:tblW w:w="996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4"/>
        <w:gridCol w:w="831"/>
        <w:gridCol w:w="1950"/>
        <w:gridCol w:w="1521"/>
        <w:gridCol w:w="2190"/>
        <w:gridCol w:w="1260"/>
        <w:gridCol w:w="14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jc w:val="center"/>
        </w:trPr>
        <w:tc>
          <w:tcPr>
            <w:tcW w:w="784" w:type="dxa"/>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leftChars="0" w:right="0" w:rightChars="0"/>
              <w:jc w:val="center"/>
              <w:rPr>
                <w:rFonts w:hint="eastAsia" w:ascii="宋体" w:hAnsi="宋体" w:eastAsia="宋体" w:cs="宋体"/>
                <w:sz w:val="24"/>
                <w:szCs w:val="24"/>
                <w:vertAlign w:val="baseline"/>
              </w:rPr>
            </w:pPr>
            <w:r>
              <w:rPr>
                <w:rFonts w:hint="eastAsia" w:ascii="宋体" w:hAnsi="宋体" w:eastAsia="宋体" w:cs="宋体"/>
                <w:i w:val="0"/>
                <w:iCs w:val="0"/>
                <w:caps w:val="0"/>
                <w:color w:val="333333"/>
                <w:spacing w:val="0"/>
                <w:sz w:val="24"/>
                <w:szCs w:val="24"/>
              </w:rPr>
              <w:t>包号</w:t>
            </w:r>
          </w:p>
        </w:tc>
        <w:tc>
          <w:tcPr>
            <w:tcW w:w="2781" w:type="dxa"/>
            <w:gridSpan w:val="2"/>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leftChars="0" w:right="0" w:rightChars="0"/>
              <w:jc w:val="center"/>
              <w:rPr>
                <w:rFonts w:hint="eastAsia" w:ascii="宋体" w:hAnsi="宋体" w:eastAsia="宋体" w:cs="宋体"/>
                <w:sz w:val="24"/>
                <w:szCs w:val="24"/>
                <w:vertAlign w:val="baseline"/>
              </w:rPr>
            </w:pPr>
            <w:r>
              <w:rPr>
                <w:rFonts w:hint="eastAsia" w:ascii="宋体" w:hAnsi="宋体" w:eastAsia="宋体" w:cs="宋体"/>
                <w:i w:val="0"/>
                <w:iCs w:val="0"/>
                <w:caps w:val="0"/>
                <w:color w:val="333333"/>
                <w:spacing w:val="0"/>
                <w:sz w:val="24"/>
                <w:szCs w:val="24"/>
              </w:rPr>
              <w:t>采购内容</w:t>
            </w:r>
          </w:p>
        </w:tc>
        <w:tc>
          <w:tcPr>
            <w:tcW w:w="1521" w:type="dxa"/>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leftChars="0" w:right="0" w:rightChars="0"/>
              <w:jc w:val="center"/>
              <w:rPr>
                <w:rFonts w:hint="eastAsia" w:ascii="宋体" w:hAnsi="宋体" w:eastAsia="宋体" w:cs="宋体"/>
                <w:sz w:val="24"/>
                <w:szCs w:val="24"/>
                <w:vertAlign w:val="baseline"/>
              </w:rPr>
            </w:pPr>
            <w:r>
              <w:rPr>
                <w:rFonts w:hint="eastAsia" w:ascii="宋体" w:hAnsi="宋体" w:eastAsia="宋体" w:cs="宋体"/>
                <w:i w:val="0"/>
                <w:iCs w:val="0"/>
                <w:caps w:val="0"/>
                <w:color w:val="333333"/>
                <w:spacing w:val="0"/>
                <w:sz w:val="24"/>
                <w:szCs w:val="24"/>
              </w:rPr>
              <w:t>供应商名称</w:t>
            </w:r>
          </w:p>
        </w:tc>
        <w:tc>
          <w:tcPr>
            <w:tcW w:w="2190" w:type="dxa"/>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leftChars="0" w:right="0" w:rightChars="0"/>
              <w:jc w:val="center"/>
              <w:rPr>
                <w:rFonts w:hint="eastAsia" w:ascii="宋体" w:hAnsi="宋体" w:eastAsia="宋体" w:cs="宋体"/>
                <w:sz w:val="24"/>
                <w:szCs w:val="24"/>
                <w:vertAlign w:val="baseline"/>
              </w:rPr>
            </w:pPr>
            <w:r>
              <w:rPr>
                <w:rFonts w:hint="eastAsia" w:ascii="宋体" w:hAnsi="宋体" w:eastAsia="宋体" w:cs="宋体"/>
                <w:i w:val="0"/>
                <w:iCs w:val="0"/>
                <w:caps w:val="0"/>
                <w:color w:val="333333"/>
                <w:spacing w:val="0"/>
                <w:sz w:val="24"/>
                <w:szCs w:val="24"/>
              </w:rPr>
              <w:t>地址</w:t>
            </w:r>
          </w:p>
        </w:tc>
        <w:tc>
          <w:tcPr>
            <w:tcW w:w="1260" w:type="dxa"/>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leftChars="0" w:right="0" w:rightChars="0"/>
              <w:jc w:val="center"/>
              <w:rPr>
                <w:rFonts w:hint="eastAsia" w:ascii="宋体" w:hAnsi="宋体" w:eastAsia="宋体" w:cs="宋体"/>
                <w:sz w:val="24"/>
                <w:szCs w:val="24"/>
                <w:vertAlign w:val="baseline"/>
                <w:lang w:eastAsia="zh-CN"/>
              </w:rPr>
            </w:pPr>
            <w:r>
              <w:rPr>
                <w:rFonts w:hint="eastAsia" w:ascii="宋体" w:hAnsi="宋体" w:eastAsia="宋体" w:cs="宋体"/>
                <w:i w:val="0"/>
                <w:iCs w:val="0"/>
                <w:caps w:val="0"/>
                <w:color w:val="333333"/>
                <w:spacing w:val="0"/>
                <w:sz w:val="24"/>
                <w:szCs w:val="24"/>
              </w:rPr>
              <w:t>中标</w:t>
            </w:r>
            <w:r>
              <w:rPr>
                <w:rFonts w:hint="eastAsia" w:ascii="宋体" w:hAnsi="宋体" w:eastAsia="宋体" w:cs="宋体"/>
                <w:i w:val="0"/>
                <w:iCs w:val="0"/>
                <w:caps w:val="0"/>
                <w:color w:val="333333"/>
                <w:spacing w:val="0"/>
                <w:sz w:val="24"/>
                <w:szCs w:val="24"/>
                <w:lang w:eastAsia="zh-CN"/>
              </w:rPr>
              <w:t>优惠率</w:t>
            </w:r>
          </w:p>
        </w:tc>
        <w:tc>
          <w:tcPr>
            <w:tcW w:w="1425" w:type="dxa"/>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leftChars="0" w:right="0" w:rightChars="0"/>
              <w:jc w:val="center"/>
              <w:rPr>
                <w:rFonts w:hint="eastAsia" w:ascii="宋体" w:hAnsi="宋体" w:eastAsia="宋体" w:cs="宋体"/>
                <w:sz w:val="24"/>
                <w:szCs w:val="24"/>
                <w:vertAlign w:val="baseline"/>
              </w:rPr>
            </w:pPr>
            <w:r>
              <w:rPr>
                <w:rFonts w:hint="eastAsia" w:ascii="宋体" w:hAnsi="宋体" w:eastAsia="宋体" w:cs="宋体"/>
                <w:i w:val="0"/>
                <w:iCs w:val="0"/>
                <w:caps w:val="0"/>
                <w:color w:val="333333"/>
                <w:spacing w:val="0"/>
                <w:sz w:val="24"/>
                <w:szCs w:val="24"/>
              </w:rPr>
              <w:t>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jc w:val="center"/>
        </w:trPr>
        <w:tc>
          <w:tcPr>
            <w:tcW w:w="784" w:type="dxa"/>
            <w:vMerge w:val="restart"/>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leftChars="0" w:right="0" w:rightChars="0"/>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1</w:t>
            </w:r>
          </w:p>
        </w:tc>
        <w:tc>
          <w:tcPr>
            <w:tcW w:w="2781" w:type="dxa"/>
            <w:gridSpan w:val="2"/>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leftChars="0" w:right="0" w:rightChars="0"/>
              <w:jc w:val="center"/>
              <w:rPr>
                <w:rFonts w:hint="eastAsia" w:ascii="宋体" w:hAnsi="宋体" w:eastAsia="宋体" w:cs="宋体"/>
                <w:sz w:val="24"/>
                <w:szCs w:val="24"/>
                <w:vertAlign w:val="baseline"/>
              </w:rPr>
            </w:pPr>
            <w:r>
              <w:rPr>
                <w:rFonts w:hint="eastAsia" w:ascii="宋体" w:hAnsi="宋体" w:eastAsia="宋体" w:cs="宋体"/>
                <w:sz w:val="24"/>
                <w:szCs w:val="24"/>
                <w:lang w:eastAsia="zh-CN"/>
              </w:rPr>
              <w:t>G208二淅线洛阳绕城段改建工程造价咨询服务</w:t>
            </w:r>
          </w:p>
        </w:tc>
        <w:tc>
          <w:tcPr>
            <w:tcW w:w="1521" w:type="dxa"/>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leftChars="0" w:right="0" w:rightChars="0"/>
              <w:jc w:val="center"/>
              <w:rPr>
                <w:rFonts w:hint="eastAsia" w:ascii="宋体" w:hAnsi="宋体" w:eastAsia="宋体" w:cs="宋体"/>
                <w:sz w:val="24"/>
                <w:szCs w:val="24"/>
                <w:vertAlign w:val="baseline"/>
              </w:rPr>
            </w:pPr>
            <w:r>
              <w:rPr>
                <w:rFonts w:hint="eastAsia" w:ascii="宋体" w:hAnsi="宋体" w:eastAsia="宋体" w:cs="宋体"/>
                <w:sz w:val="24"/>
                <w:szCs w:val="24"/>
                <w:vertAlign w:val="baseline"/>
                <w:lang w:val="en-US" w:eastAsia="zh-CN"/>
              </w:rPr>
              <w:t>河南中创工程项目管理有限公司</w:t>
            </w:r>
          </w:p>
        </w:tc>
        <w:tc>
          <w:tcPr>
            <w:tcW w:w="2190" w:type="dxa"/>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leftChars="0" w:right="0" w:rightChars="0"/>
              <w:jc w:val="center"/>
              <w:rPr>
                <w:rFonts w:hint="eastAsia" w:ascii="宋体" w:hAnsi="宋体" w:eastAsia="宋体" w:cs="宋体"/>
                <w:sz w:val="24"/>
                <w:szCs w:val="24"/>
                <w:vertAlign w:val="baseline"/>
              </w:rPr>
            </w:pPr>
            <w:r>
              <w:rPr>
                <w:rFonts w:hint="eastAsia" w:ascii="宋体" w:hAnsi="宋体" w:eastAsia="宋体" w:cs="宋体"/>
                <w:sz w:val="24"/>
                <w:szCs w:val="24"/>
                <w:vertAlign w:val="baseline"/>
              </w:rPr>
              <w:t>河南省洛阳市洛龙区太康路39号天元在水一方9幢1-1912室</w:t>
            </w:r>
          </w:p>
        </w:tc>
        <w:tc>
          <w:tcPr>
            <w:tcW w:w="1260" w:type="dxa"/>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leftChars="0" w:right="0" w:rightChars="0"/>
              <w:jc w:val="center"/>
              <w:rPr>
                <w:rFonts w:hint="eastAsia" w:ascii="宋体" w:hAnsi="宋体" w:eastAsia="宋体" w:cs="宋体"/>
                <w:sz w:val="24"/>
                <w:szCs w:val="24"/>
                <w:vertAlign w:val="baseline"/>
              </w:rPr>
            </w:pPr>
            <w:r>
              <w:rPr>
                <w:rFonts w:hint="eastAsia" w:ascii="仿宋" w:hAnsi="仿宋" w:eastAsia="仿宋" w:cs="仿宋"/>
                <w:b w:val="0"/>
                <w:bCs w:val="0"/>
                <w:i w:val="0"/>
                <w:iCs w:val="0"/>
                <w:color w:val="000000"/>
                <w:kern w:val="0"/>
                <w:sz w:val="24"/>
                <w:szCs w:val="24"/>
                <w:u w:val="none"/>
                <w:lang w:val="en-US" w:eastAsia="zh-CN" w:bidi="ar"/>
              </w:rPr>
              <w:t>2.50</w:t>
            </w:r>
          </w:p>
        </w:tc>
        <w:tc>
          <w:tcPr>
            <w:tcW w:w="1425" w:type="dxa"/>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leftChars="0" w:right="0" w:rightChars="0"/>
              <w:jc w:val="center"/>
              <w:rPr>
                <w:rFonts w:hint="eastAsia" w:ascii="宋体" w:hAnsi="宋体" w:eastAsia="宋体" w:cs="宋体"/>
                <w:sz w:val="24"/>
                <w:szCs w:val="24"/>
                <w:vertAlign w:val="baseline"/>
                <w:lang w:eastAsia="zh-CN"/>
              </w:rPr>
            </w:pPr>
            <w:r>
              <w:rPr>
                <w:rFonts w:hint="eastAsia" w:ascii="仿宋" w:hAnsi="仿宋" w:eastAsia="仿宋" w:cs="仿宋"/>
                <w:b w:val="0"/>
                <w:bCs w:val="0"/>
                <w:i w:val="0"/>
                <w:iCs w:val="0"/>
                <w:color w:val="000000"/>
                <w:kern w:val="0"/>
                <w:sz w:val="24"/>
                <w:szCs w:val="24"/>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8" w:hRule="atLeast"/>
          <w:jc w:val="center"/>
        </w:trPr>
        <w:tc>
          <w:tcPr>
            <w:tcW w:w="784" w:type="dxa"/>
            <w:vMerge w:val="continue"/>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leftChars="0" w:right="0" w:rightChars="0"/>
              <w:jc w:val="center"/>
              <w:rPr>
                <w:rFonts w:hint="eastAsia" w:ascii="宋体" w:hAnsi="宋体" w:eastAsia="宋体" w:cs="宋体"/>
                <w:sz w:val="24"/>
                <w:szCs w:val="24"/>
                <w:vertAlign w:val="baseline"/>
              </w:rPr>
            </w:pPr>
          </w:p>
        </w:tc>
        <w:tc>
          <w:tcPr>
            <w:tcW w:w="831" w:type="dxa"/>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leftChars="0" w:right="0" w:rightChars="0"/>
              <w:jc w:val="center"/>
              <w:rPr>
                <w:rFonts w:hint="eastAsia" w:ascii="宋体" w:hAnsi="宋体" w:eastAsia="宋体" w:cs="宋体"/>
                <w:sz w:val="24"/>
                <w:szCs w:val="24"/>
                <w:vertAlign w:val="baseline"/>
              </w:rPr>
            </w:pPr>
            <w:r>
              <w:rPr>
                <w:rFonts w:hint="eastAsia" w:ascii="宋体" w:hAnsi="宋体" w:eastAsia="宋体" w:cs="宋体"/>
                <w:i w:val="0"/>
                <w:iCs w:val="0"/>
                <w:caps w:val="0"/>
                <w:color w:val="333333"/>
                <w:spacing w:val="0"/>
                <w:sz w:val="24"/>
                <w:szCs w:val="24"/>
              </w:rPr>
              <w:t>序号</w:t>
            </w:r>
          </w:p>
        </w:tc>
        <w:tc>
          <w:tcPr>
            <w:tcW w:w="1950" w:type="dxa"/>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leftChars="0" w:right="0" w:rightChars="0"/>
              <w:jc w:val="center"/>
              <w:rPr>
                <w:rFonts w:hint="eastAsia" w:ascii="宋体" w:hAnsi="宋体" w:eastAsia="宋体" w:cs="宋体"/>
                <w:sz w:val="24"/>
                <w:szCs w:val="24"/>
                <w:vertAlign w:val="baseline"/>
              </w:rPr>
            </w:pPr>
            <w:r>
              <w:rPr>
                <w:rFonts w:hint="eastAsia" w:ascii="宋体" w:hAnsi="宋体" w:eastAsia="宋体" w:cs="宋体"/>
                <w:i w:val="0"/>
                <w:iCs w:val="0"/>
                <w:caps w:val="0"/>
                <w:color w:val="333333"/>
                <w:spacing w:val="0"/>
                <w:sz w:val="24"/>
                <w:szCs w:val="24"/>
              </w:rPr>
              <w:t>名称</w:t>
            </w:r>
          </w:p>
        </w:tc>
        <w:tc>
          <w:tcPr>
            <w:tcW w:w="1521" w:type="dxa"/>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leftChars="0" w:right="0" w:rightChars="0"/>
              <w:jc w:val="center"/>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lang w:eastAsia="zh-CN"/>
              </w:rPr>
              <w:t>服务</w:t>
            </w:r>
            <w:r>
              <w:rPr>
                <w:rFonts w:hint="eastAsia" w:ascii="宋体" w:hAnsi="宋体" w:eastAsia="宋体" w:cs="宋体"/>
                <w:i w:val="0"/>
                <w:iCs w:val="0"/>
                <w:caps w:val="0"/>
                <w:color w:val="333333"/>
                <w:spacing w:val="0"/>
                <w:sz w:val="24"/>
                <w:szCs w:val="24"/>
              </w:rPr>
              <w:t>范围</w:t>
            </w:r>
          </w:p>
        </w:tc>
        <w:tc>
          <w:tcPr>
            <w:tcW w:w="2190" w:type="dxa"/>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leftChars="0" w:right="0" w:rightChars="0"/>
              <w:jc w:val="center"/>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rPr>
              <w:t>服务要求</w:t>
            </w:r>
          </w:p>
        </w:tc>
        <w:tc>
          <w:tcPr>
            <w:tcW w:w="1260" w:type="dxa"/>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leftChars="0" w:right="0" w:rightChars="0"/>
              <w:jc w:val="center"/>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lang w:eastAsia="zh-CN"/>
              </w:rPr>
              <w:t>服务时间</w:t>
            </w:r>
          </w:p>
        </w:tc>
        <w:tc>
          <w:tcPr>
            <w:tcW w:w="1425" w:type="dxa"/>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leftChars="0" w:right="0" w:rightChars="0"/>
              <w:jc w:val="center"/>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lang w:eastAsia="zh-CN"/>
              </w:rPr>
              <w:t>服务标准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jc w:val="center"/>
        </w:trPr>
        <w:tc>
          <w:tcPr>
            <w:tcW w:w="784" w:type="dxa"/>
            <w:vMerge w:val="continue"/>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leftChars="0" w:right="0" w:rightChars="0"/>
              <w:jc w:val="center"/>
              <w:rPr>
                <w:rFonts w:hint="eastAsia" w:ascii="宋体" w:hAnsi="宋体" w:eastAsia="宋体" w:cs="宋体"/>
                <w:sz w:val="24"/>
                <w:szCs w:val="24"/>
                <w:vertAlign w:val="baseline"/>
              </w:rPr>
            </w:pPr>
          </w:p>
        </w:tc>
        <w:tc>
          <w:tcPr>
            <w:tcW w:w="831" w:type="dxa"/>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leftChars="0" w:right="0" w:rightChars="0"/>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1</w:t>
            </w:r>
          </w:p>
        </w:tc>
        <w:tc>
          <w:tcPr>
            <w:tcW w:w="1950" w:type="dxa"/>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leftChars="0" w:right="0" w:rightChars="0"/>
              <w:jc w:val="center"/>
              <w:rPr>
                <w:rFonts w:hint="eastAsia" w:ascii="宋体" w:hAnsi="宋体" w:eastAsia="宋体" w:cs="宋体"/>
                <w:sz w:val="24"/>
                <w:szCs w:val="24"/>
                <w:vertAlign w:val="baseline"/>
              </w:rPr>
            </w:pPr>
            <w:r>
              <w:rPr>
                <w:rFonts w:hint="eastAsia" w:ascii="宋体" w:hAnsi="宋体" w:eastAsia="宋体" w:cs="宋体"/>
                <w:sz w:val="24"/>
                <w:szCs w:val="24"/>
                <w:lang w:eastAsia="zh-CN"/>
              </w:rPr>
              <w:t>G208二淅线洛阳绕城段改建工程造价咨询服务</w:t>
            </w:r>
          </w:p>
        </w:tc>
        <w:tc>
          <w:tcPr>
            <w:tcW w:w="1521" w:type="dxa"/>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leftChars="0" w:right="0" w:rightChars="0"/>
              <w:jc w:val="center"/>
              <w:rPr>
                <w:rFonts w:hint="eastAsia" w:ascii="宋体" w:hAnsi="宋体" w:eastAsia="宋体" w:cs="宋体"/>
                <w:sz w:val="24"/>
                <w:szCs w:val="24"/>
                <w:vertAlign w:val="baseline"/>
                <w:lang w:eastAsia="zh-CN"/>
              </w:rPr>
            </w:pPr>
            <w:r>
              <w:rPr>
                <w:rFonts w:hint="eastAsia" w:ascii="宋体" w:hAnsi="宋体" w:eastAsia="宋体" w:cs="宋体"/>
                <w:sz w:val="24"/>
                <w:szCs w:val="24"/>
                <w:vertAlign w:val="baseline"/>
                <w:lang w:eastAsia="zh-CN"/>
              </w:rPr>
              <w:t>详见磋商文件</w:t>
            </w:r>
          </w:p>
        </w:tc>
        <w:tc>
          <w:tcPr>
            <w:tcW w:w="2190" w:type="dxa"/>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leftChars="0" w:right="0" w:rightChars="0"/>
              <w:jc w:val="center"/>
              <w:rPr>
                <w:rFonts w:hint="eastAsia" w:ascii="宋体" w:hAnsi="宋体" w:eastAsia="宋体" w:cs="宋体"/>
                <w:sz w:val="24"/>
                <w:szCs w:val="24"/>
                <w:vertAlign w:val="baseline"/>
              </w:rPr>
            </w:pPr>
            <w:r>
              <w:rPr>
                <w:rFonts w:hint="eastAsia" w:ascii="宋体" w:hAnsi="宋体" w:eastAsia="宋体" w:cs="宋体"/>
                <w:sz w:val="24"/>
                <w:szCs w:val="24"/>
                <w:vertAlign w:val="baseline"/>
                <w:lang w:eastAsia="zh-CN"/>
              </w:rPr>
              <w:t>详见磋商文件</w:t>
            </w:r>
          </w:p>
        </w:tc>
        <w:tc>
          <w:tcPr>
            <w:tcW w:w="1260" w:type="dxa"/>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leftChars="0" w:right="0" w:rightChars="0"/>
              <w:jc w:val="center"/>
              <w:rPr>
                <w:rFonts w:hint="eastAsia" w:ascii="宋体" w:hAnsi="宋体" w:eastAsia="宋体" w:cs="宋体"/>
                <w:sz w:val="24"/>
                <w:szCs w:val="24"/>
                <w:vertAlign w:val="baseline"/>
                <w:lang w:eastAsia="zh-CN"/>
              </w:rPr>
            </w:pPr>
            <w:r>
              <w:rPr>
                <w:rFonts w:hint="eastAsia" w:ascii="宋体" w:hAnsi="宋体" w:eastAsia="宋体" w:cs="宋体"/>
                <w:sz w:val="24"/>
                <w:szCs w:val="24"/>
                <w:vertAlign w:val="baseline"/>
                <w:lang w:eastAsia="zh-CN"/>
              </w:rPr>
              <w:t>详见磋商文件</w:t>
            </w:r>
          </w:p>
        </w:tc>
        <w:tc>
          <w:tcPr>
            <w:tcW w:w="1425" w:type="dxa"/>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leftChars="0" w:right="0" w:rightChars="0"/>
              <w:jc w:val="center"/>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eastAsia="zh-CN"/>
              </w:rPr>
              <w:t>详见磋商文件</w:t>
            </w:r>
          </w:p>
        </w:tc>
      </w:tr>
    </w:tbl>
    <w:p>
      <w:pPr>
        <w:rPr>
          <w:rFonts w:hint="eastAsia" w:ascii="宋体" w:hAnsi="宋体" w:eastAsia="宋体" w:cs="宋体"/>
          <w:sz w:val="24"/>
          <w:szCs w:val="24"/>
        </w:rPr>
      </w:pPr>
    </w:p>
    <w:p>
      <w:pPr>
        <w:rPr>
          <w:rFonts w:hint="eastAsia" w:ascii="宋体" w:hAnsi="宋体" w:eastAsia="宋体" w:cs="宋体"/>
          <w:sz w:val="24"/>
          <w:szCs w:val="24"/>
        </w:rPr>
      </w:pPr>
      <w:r>
        <w:rPr>
          <w:rFonts w:hint="eastAsia" w:ascii="宋体" w:hAnsi="宋体" w:eastAsia="宋体" w:cs="宋体"/>
          <w:sz w:val="24"/>
          <w:szCs w:val="24"/>
        </w:rPr>
        <w:t>三、评审专家名单</w:t>
      </w:r>
    </w:p>
    <w:p>
      <w:pPr>
        <w:spacing w:line="360" w:lineRule="auto"/>
        <w:rPr>
          <w:rFonts w:hint="eastAsia" w:ascii="宋体" w:hAnsi="宋体" w:eastAsia="宋体" w:cs="宋体"/>
          <w:sz w:val="24"/>
          <w:szCs w:val="24"/>
        </w:rPr>
      </w:pPr>
      <w:r>
        <w:rPr>
          <w:rFonts w:hint="eastAsia" w:ascii="宋体" w:hAnsi="宋体" w:eastAsia="宋体" w:cs="宋体"/>
          <w:sz w:val="24"/>
          <w:szCs w:val="24"/>
          <w:lang w:val="en-US" w:eastAsia="zh-CN"/>
        </w:rPr>
        <w:t>张丰庭、殷芳、董延伟</w:t>
      </w:r>
    </w:p>
    <w:p>
      <w:pPr>
        <w:spacing w:line="360" w:lineRule="auto"/>
        <w:rPr>
          <w:rFonts w:hint="eastAsia" w:ascii="宋体" w:hAnsi="宋体" w:eastAsia="宋体" w:cs="宋体"/>
          <w:sz w:val="24"/>
          <w:szCs w:val="24"/>
        </w:rPr>
      </w:pPr>
      <w:r>
        <w:rPr>
          <w:rFonts w:hint="eastAsia" w:ascii="宋体" w:hAnsi="宋体" w:eastAsia="宋体" w:cs="宋体"/>
          <w:sz w:val="24"/>
          <w:szCs w:val="24"/>
        </w:rPr>
        <w:t>四、代理服务收费标准及金额</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收费标准：收费标准：本次采购代理服务费参照《洛阳市财政局关于进一步规范政府采购代理机构和评审专家管理的通知》（洛财购[2019]3号）中代理费支付标准，由中标人在领取中标通知书前向招标代理机构支付。</w:t>
      </w:r>
      <w:r>
        <w:rPr>
          <w:rFonts w:hint="eastAsia" w:ascii="宋体" w:hAnsi="宋体" w:eastAsia="宋体" w:cs="宋体"/>
          <w:sz w:val="24"/>
          <w:szCs w:val="24"/>
          <w:lang w:eastAsia="zh-CN"/>
        </w:rPr>
        <w:t>金额：</w:t>
      </w:r>
      <w:r>
        <w:rPr>
          <w:rFonts w:hint="eastAsia" w:ascii="宋体" w:hAnsi="宋体" w:eastAsia="宋体" w:cs="宋体"/>
          <w:sz w:val="24"/>
          <w:szCs w:val="24"/>
          <w:lang w:val="en-US" w:eastAsia="zh-CN"/>
        </w:rPr>
        <w:t>3000.00元。</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宋体"/>
          <w:sz w:val="24"/>
          <w:szCs w:val="24"/>
          <w:lang w:val="en-US" w:eastAsia="zh-CN"/>
        </w:rPr>
      </w:pPr>
    </w:p>
    <w:p>
      <w:pPr>
        <w:spacing w:line="360" w:lineRule="auto"/>
        <w:rPr>
          <w:rFonts w:hint="eastAsia" w:ascii="宋体" w:hAnsi="宋体" w:eastAsia="宋体" w:cs="宋体"/>
          <w:sz w:val="24"/>
          <w:szCs w:val="24"/>
        </w:rPr>
      </w:pPr>
      <w:bookmarkStart w:id="0" w:name="_GoBack"/>
      <w:bookmarkEnd w:id="0"/>
      <w:r>
        <w:rPr>
          <w:rFonts w:hint="eastAsia" w:ascii="宋体" w:hAnsi="宋体" w:eastAsia="宋体" w:cs="宋体"/>
          <w:sz w:val="24"/>
          <w:szCs w:val="24"/>
        </w:rPr>
        <w:t>五、成交公告发布的媒介及成交公告期限</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本次中标公告在《中国招标投标公共服务平台</w:t>
      </w:r>
      <w:r>
        <w:rPr>
          <w:rFonts w:hint="eastAsia" w:ascii="宋体" w:hAnsi="宋体" w:eastAsia="宋体" w:cs="宋体"/>
          <w:sz w:val="24"/>
          <w:szCs w:val="24"/>
          <w:lang w:eastAsia="zh-CN"/>
        </w:rPr>
        <w:t>》《</w:t>
      </w:r>
      <w:r>
        <w:rPr>
          <w:rFonts w:hint="eastAsia" w:ascii="宋体" w:hAnsi="宋体" w:eastAsia="宋体" w:cs="宋体"/>
          <w:sz w:val="24"/>
          <w:szCs w:val="24"/>
        </w:rPr>
        <w:t>河南省电子招标投标公共服务平台</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洛阳市交通事业发展中心</w:t>
      </w:r>
      <w:r>
        <w:rPr>
          <w:rFonts w:hint="eastAsia" w:ascii="宋体" w:hAnsi="宋体" w:eastAsia="宋体" w:cs="宋体"/>
          <w:sz w:val="24"/>
          <w:szCs w:val="24"/>
        </w:rPr>
        <w:t>》上发布，成交公告期限为1个工作日。</w:t>
      </w:r>
    </w:p>
    <w:p>
      <w:pPr>
        <w:spacing w:line="360" w:lineRule="auto"/>
        <w:rPr>
          <w:rFonts w:hint="eastAsia" w:ascii="宋体" w:hAnsi="宋体" w:eastAsia="宋体" w:cs="宋体"/>
          <w:sz w:val="24"/>
          <w:szCs w:val="24"/>
        </w:rPr>
      </w:pPr>
      <w:r>
        <w:rPr>
          <w:rFonts w:hint="eastAsia" w:ascii="宋体" w:hAnsi="宋体" w:eastAsia="宋体" w:cs="宋体"/>
          <w:sz w:val="24"/>
          <w:szCs w:val="24"/>
        </w:rPr>
        <w:t>六、其他补充事宜</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无</w:t>
      </w:r>
    </w:p>
    <w:p>
      <w:pPr>
        <w:spacing w:line="360" w:lineRule="auto"/>
        <w:rPr>
          <w:rFonts w:hint="eastAsia" w:ascii="宋体" w:hAnsi="宋体" w:eastAsia="宋体" w:cs="宋体"/>
          <w:sz w:val="24"/>
          <w:szCs w:val="24"/>
        </w:rPr>
      </w:pPr>
      <w:r>
        <w:rPr>
          <w:rFonts w:hint="eastAsia" w:ascii="宋体" w:hAnsi="宋体" w:eastAsia="宋体" w:cs="宋体"/>
          <w:sz w:val="24"/>
          <w:szCs w:val="24"/>
        </w:rPr>
        <w:t>七、凡对本次公告内容提出询问，请按以下方式联系</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1.采购人信息</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名称：洛阳市交通事业发展中心</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地址：洛阳市涧西区南昌路172号</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联系人：吕先生</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联系方式：0379-63251289</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2.采购代理机构信息</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名称：中韵天隆工程集团有限公司</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地址：洛阳市涧西区河洛路建业华阳峰渡1-2418</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联系人：郭先生</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联系方式：0379-64322552</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3.项目联系方式</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项目联系人：郭先生</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联系方式：0379-64322552</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监督部门：洛阳市交通运输局</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联系人：郑先生</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联系方式：0379-63218170</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p>
    <w:p>
      <w:pPr>
        <w:spacing w:line="360" w:lineRule="auto"/>
        <w:jc w:val="right"/>
        <w:rPr>
          <w:rFonts w:hint="eastAsia" w:ascii="宋体" w:hAnsi="宋体" w:eastAsia="宋体" w:cs="宋体"/>
          <w:sz w:val="24"/>
          <w:szCs w:val="24"/>
        </w:rPr>
      </w:pPr>
      <w:r>
        <w:rPr>
          <w:rFonts w:hint="eastAsia" w:ascii="宋体" w:hAnsi="宋体" w:eastAsia="宋体" w:cs="宋体"/>
          <w:sz w:val="24"/>
          <w:szCs w:val="24"/>
        </w:rPr>
        <w:t>2023年</w:t>
      </w:r>
      <w:r>
        <w:rPr>
          <w:rFonts w:hint="eastAsia" w:ascii="宋体" w:hAnsi="宋体" w:eastAsia="宋体" w:cs="宋体"/>
          <w:sz w:val="24"/>
          <w:szCs w:val="24"/>
          <w:lang w:val="en-US" w:eastAsia="zh-CN"/>
        </w:rPr>
        <w:t>11</w:t>
      </w:r>
      <w:r>
        <w:rPr>
          <w:rFonts w:hint="eastAsia" w:ascii="宋体" w:hAnsi="宋体" w:eastAsia="宋体" w:cs="宋体"/>
          <w:sz w:val="24"/>
          <w:szCs w:val="24"/>
        </w:rPr>
        <w:t>月</w:t>
      </w:r>
      <w:r>
        <w:rPr>
          <w:rFonts w:hint="eastAsia" w:ascii="宋体" w:hAnsi="宋体" w:eastAsia="宋体" w:cs="宋体"/>
          <w:sz w:val="24"/>
          <w:szCs w:val="24"/>
          <w:lang w:val="en-US" w:eastAsia="zh-CN"/>
        </w:rPr>
        <w:t>20</w:t>
      </w:r>
      <w:r>
        <w:rPr>
          <w:rFonts w:hint="eastAsia" w:ascii="宋体" w:hAnsi="宋体" w:eastAsia="宋体" w:cs="宋体"/>
          <w:sz w:val="24"/>
          <w:szCs w:val="24"/>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8"/>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4"/>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VjMzUzMTk3ZDZiOGU3YmM2YWU3ZDlmNjEwZGVhZTEifQ=="/>
  </w:docVars>
  <w:rsids>
    <w:rsidRoot w:val="7E3738F7"/>
    <w:rsid w:val="00DA6957"/>
    <w:rsid w:val="10D16939"/>
    <w:rsid w:val="146B7808"/>
    <w:rsid w:val="18636858"/>
    <w:rsid w:val="193C7053"/>
    <w:rsid w:val="2ED55DFD"/>
    <w:rsid w:val="3FF50035"/>
    <w:rsid w:val="42F8373B"/>
    <w:rsid w:val="44D2458E"/>
    <w:rsid w:val="4E7576E9"/>
    <w:rsid w:val="532C190B"/>
    <w:rsid w:val="5D0531AA"/>
    <w:rsid w:val="6C360C56"/>
    <w:rsid w:val="74E54A9D"/>
    <w:rsid w:val="77F51A1C"/>
    <w:rsid w:val="7E3738F7"/>
    <w:rsid w:val="7F3867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next w:val="3"/>
    <w:semiHidden/>
    <w:qFormat/>
    <w:uiPriority w:val="0"/>
    <w:rPr>
      <w:rFonts w:ascii="仿宋" w:hAnsi="仿宋" w:eastAsia="仿宋" w:cs="仿宋"/>
      <w:sz w:val="28"/>
      <w:szCs w:val="28"/>
      <w:lang w:val="en-US" w:eastAsia="en-US" w:bidi="ar-SA"/>
    </w:rPr>
  </w:style>
  <w:style w:type="paragraph" w:customStyle="1" w:styleId="3">
    <w:name w:val="Default"/>
    <w:next w:val="4"/>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4">
    <w:name w:val="表格文字"/>
    <w:basedOn w:val="1"/>
    <w:qFormat/>
    <w:uiPriority w:val="0"/>
    <w:pPr>
      <w:adjustRightInd w:val="0"/>
      <w:spacing w:line="420" w:lineRule="atLeast"/>
      <w:jc w:val="left"/>
      <w:textAlignment w:val="baseline"/>
    </w:pPr>
    <w:rPr>
      <w:kern w:val="0"/>
      <w:szCs w:val="20"/>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FollowedHyperlink"/>
    <w:basedOn w:val="8"/>
    <w:qFormat/>
    <w:uiPriority w:val="0"/>
    <w:rPr>
      <w:color w:val="800080"/>
      <w:u w:val="none"/>
    </w:rPr>
  </w:style>
  <w:style w:type="character" w:styleId="10">
    <w:name w:val="HTML Definition"/>
    <w:basedOn w:val="8"/>
    <w:qFormat/>
    <w:uiPriority w:val="0"/>
  </w:style>
  <w:style w:type="character" w:styleId="11">
    <w:name w:val="HTML Typewriter"/>
    <w:basedOn w:val="8"/>
    <w:qFormat/>
    <w:uiPriority w:val="0"/>
    <w:rPr>
      <w:rFonts w:hint="default" w:ascii="monospace" w:hAnsi="monospace" w:eastAsia="monospace" w:cs="monospace"/>
      <w:sz w:val="20"/>
    </w:rPr>
  </w:style>
  <w:style w:type="character" w:styleId="12">
    <w:name w:val="HTML Acronym"/>
    <w:basedOn w:val="8"/>
    <w:qFormat/>
    <w:uiPriority w:val="0"/>
  </w:style>
  <w:style w:type="character" w:styleId="13">
    <w:name w:val="HTML Variable"/>
    <w:basedOn w:val="8"/>
    <w:qFormat/>
    <w:uiPriority w:val="0"/>
  </w:style>
  <w:style w:type="character" w:styleId="14">
    <w:name w:val="Hyperlink"/>
    <w:basedOn w:val="8"/>
    <w:qFormat/>
    <w:uiPriority w:val="0"/>
    <w:rPr>
      <w:color w:val="0000FF"/>
      <w:u w:val="none"/>
    </w:rPr>
  </w:style>
  <w:style w:type="character" w:styleId="15">
    <w:name w:val="HTML Code"/>
    <w:basedOn w:val="8"/>
    <w:qFormat/>
    <w:uiPriority w:val="0"/>
    <w:rPr>
      <w:rFonts w:ascii="monospace" w:hAnsi="monospace" w:eastAsia="monospace" w:cs="monospace"/>
      <w:sz w:val="20"/>
    </w:rPr>
  </w:style>
  <w:style w:type="character" w:styleId="16">
    <w:name w:val="HTML Cite"/>
    <w:basedOn w:val="8"/>
    <w:qFormat/>
    <w:uiPriority w:val="0"/>
  </w:style>
  <w:style w:type="character" w:styleId="17">
    <w:name w:val="HTML Keyboard"/>
    <w:basedOn w:val="8"/>
    <w:qFormat/>
    <w:uiPriority w:val="0"/>
    <w:rPr>
      <w:rFonts w:hint="default" w:ascii="monospace" w:hAnsi="monospace" w:eastAsia="monospace" w:cs="monospace"/>
      <w:sz w:val="20"/>
    </w:rPr>
  </w:style>
  <w:style w:type="character" w:styleId="18">
    <w:name w:val="HTML Sample"/>
    <w:basedOn w:val="8"/>
    <w:qFormat/>
    <w:uiPriority w:val="0"/>
    <w:rPr>
      <w:rFonts w:hint="default" w:ascii="monospace" w:hAnsi="monospace" w:eastAsia="monospace" w:cs="monospace"/>
    </w:rPr>
  </w:style>
  <w:style w:type="character" w:customStyle="1" w:styleId="19">
    <w:name w:val="layui-layer-tabnow"/>
    <w:basedOn w:val="8"/>
    <w:qFormat/>
    <w:uiPriority w:val="0"/>
    <w:rPr>
      <w:bdr w:val="single" w:color="CCCCCC" w:sz="6" w:space="0"/>
      <w:shd w:val="clear" w:fill="FFFFFF"/>
    </w:rPr>
  </w:style>
  <w:style w:type="character" w:customStyle="1" w:styleId="20">
    <w:name w:val="first-child"/>
    <w:basedOn w:val="8"/>
    <w:qFormat/>
    <w:uiPriority w:val="0"/>
  </w:style>
  <w:style w:type="paragraph" w:customStyle="1" w:styleId="21">
    <w:name w:val="正文文本_1"/>
    <w:basedOn w:val="22"/>
    <w:unhideWhenUsed/>
    <w:qFormat/>
    <w:uiPriority w:val="0"/>
    <w:pPr>
      <w:widowControl/>
      <w:adjustRightInd w:val="0"/>
      <w:spacing w:after="60" w:line="360" w:lineRule="atLeast"/>
      <w:ind w:left="72" w:leftChars="30" w:right="30" w:rightChars="30" w:firstLine="200" w:firstLineChars="200"/>
      <w:jc w:val="center"/>
    </w:pPr>
    <w:rPr>
      <w:rFonts w:ascii="Calibri" w:hAnsi="Calibri"/>
      <w:kern w:val="0"/>
      <w:sz w:val="20"/>
      <w:szCs w:val="20"/>
    </w:rPr>
  </w:style>
  <w:style w:type="paragraph" w:customStyle="1" w:styleId="22">
    <w:name w:val="正文_1"/>
    <w:next w:val="23"/>
    <w:qFormat/>
    <w:uiPriority w:val="0"/>
    <w:pPr>
      <w:widowControl w:val="0"/>
      <w:jc w:val="both"/>
    </w:pPr>
    <w:rPr>
      <w:rFonts w:ascii="Calibri" w:hAnsi="Calibri" w:eastAsia="宋体" w:cs="Times New Roman"/>
      <w:kern w:val="2"/>
      <w:sz w:val="21"/>
      <w:szCs w:val="22"/>
      <w:lang w:val="en-US" w:eastAsia="zh-CN" w:bidi="ar-SA"/>
    </w:rPr>
  </w:style>
  <w:style w:type="paragraph" w:customStyle="1" w:styleId="23">
    <w:name w:val="标题 2_1"/>
    <w:basedOn w:val="22"/>
    <w:next w:val="22"/>
    <w:unhideWhenUsed/>
    <w:qFormat/>
    <w:uiPriority w:val="0"/>
    <w:pPr>
      <w:keepNext/>
      <w:keepLines/>
      <w:spacing w:before="260" w:after="260" w:line="415" w:lineRule="auto"/>
      <w:outlineLvl w:val="1"/>
    </w:pPr>
    <w:rPr>
      <w:rFonts w:ascii="Arial" w:hAnsi="Arial" w:eastAsia="黑体"/>
      <w:b/>
      <w:bCs/>
      <w:sz w:val="32"/>
      <w:szCs w:val="3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593</Words>
  <Characters>673</Characters>
  <Lines>0</Lines>
  <Paragraphs>0</Paragraphs>
  <TotalTime>0</TotalTime>
  <ScaleCrop>false</ScaleCrop>
  <LinksUpToDate>false</LinksUpToDate>
  <CharactersWithSpaces>685</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2023-02-21T00:44:00Z</dcterms:created>
  <dc:creator>双鱼座的恒星（ZASG）</dc:creator>
  <cp:lastModifiedBy>双鱼座的恒星（ZASG）</cp:lastModifiedBy>
  <dcterms:modified xsi:type="dcterms:W3CDTF">2023-11-20T14:35:34Z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2E73DBB67D524BEDB48E37CF0051D5F4</vt:lpwstr>
  </property>
</Properties>
</file>