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7597D1">
      <w:pPr>
        <w:pStyle w:val="5"/>
        <w:bidi w:val="0"/>
        <w:jc w:val="center"/>
        <w:rPr>
          <w:rFonts w:hint="eastAsia" w:ascii="宋体" w:hAnsi="宋体" w:eastAsia="宋体" w:cs="宋体"/>
          <w:b/>
          <w:bCs/>
          <w:color w:val="auto"/>
          <w:sz w:val="28"/>
          <w:szCs w:val="28"/>
          <w:highlight w:val="none"/>
          <w:lang w:eastAsia="zh-CN"/>
        </w:rPr>
      </w:pPr>
      <w:bookmarkStart w:id="0" w:name="_Toc354652573"/>
      <w:bookmarkStart w:id="1" w:name="_Toc144974482"/>
      <w:bookmarkStart w:id="2" w:name="_Toc152042290"/>
      <w:bookmarkStart w:id="3" w:name="_Toc152045514"/>
      <w:bookmarkStart w:id="4" w:name="_Toc268155985"/>
      <w:r>
        <w:rPr>
          <w:rFonts w:hint="eastAsia" w:ascii="宋体" w:hAnsi="宋体" w:eastAsia="宋体" w:cs="宋体"/>
          <w:b/>
          <w:bCs/>
          <w:color w:val="auto"/>
          <w:sz w:val="28"/>
          <w:szCs w:val="28"/>
          <w:highlight w:val="none"/>
          <w:lang w:eastAsia="zh-CN"/>
        </w:rPr>
        <w:t>洛阳市普通干线公路桥隧养护与运营规范化管理咨询服务</w:t>
      </w:r>
    </w:p>
    <w:p w14:paraId="233E09DF">
      <w:pPr>
        <w:pStyle w:val="5"/>
        <w:bidi w:val="0"/>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竞争性磋商公告</w:t>
      </w:r>
      <w:bookmarkEnd w:id="0"/>
      <w:bookmarkEnd w:id="1"/>
      <w:bookmarkEnd w:id="2"/>
      <w:bookmarkEnd w:id="3"/>
      <w:bookmarkEnd w:id="4"/>
    </w:p>
    <w:p w14:paraId="6F863B1E">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洛阳市普通干线公路桥隧养护与运营规范化管理咨询服务的潜在供应商应在中灿工程管理咨询有限公司获取磋商文件，并于2025年01月14日</w:t>
      </w:r>
      <w:r>
        <w:rPr>
          <w:rFonts w:hint="eastAsia" w:ascii="宋体" w:hAnsi="宋体" w:cs="宋体"/>
          <w:caps w:val="0"/>
          <w:smallCaps w:val="0"/>
          <w:color w:val="auto"/>
          <w:spacing w:val="11"/>
          <w:w w:val="100"/>
          <w:kern w:val="0"/>
          <w:sz w:val="24"/>
          <w:szCs w:val="24"/>
          <w:highlight w:val="none"/>
          <w:lang w:val="en-US" w:eastAsia="zh-CN" w:bidi="ar-SA"/>
        </w:rPr>
        <w:t>09</w:t>
      </w:r>
      <w:r>
        <w:rPr>
          <w:rFonts w:hint="eastAsia" w:ascii="宋体" w:hAnsi="宋体" w:eastAsia="宋体" w:cs="宋体"/>
          <w:caps w:val="0"/>
          <w:smallCaps w:val="0"/>
          <w:color w:val="auto"/>
          <w:spacing w:val="11"/>
          <w:w w:val="100"/>
          <w:kern w:val="0"/>
          <w:sz w:val="24"/>
          <w:szCs w:val="24"/>
          <w:highlight w:val="none"/>
          <w:lang w:val="en-US" w:eastAsia="zh-CN" w:bidi="ar-SA"/>
        </w:rPr>
        <w:t>时</w:t>
      </w:r>
      <w:r>
        <w:rPr>
          <w:rFonts w:hint="eastAsia" w:ascii="宋体" w:hAnsi="宋体" w:cs="宋体"/>
          <w:caps w:val="0"/>
          <w:smallCaps w:val="0"/>
          <w:color w:val="auto"/>
          <w:spacing w:val="11"/>
          <w:w w:val="100"/>
          <w:kern w:val="0"/>
          <w:sz w:val="24"/>
          <w:szCs w:val="24"/>
          <w:highlight w:val="none"/>
          <w:lang w:val="en-US" w:eastAsia="zh-CN" w:bidi="ar-SA"/>
        </w:rPr>
        <w:t>30</w:t>
      </w:r>
      <w:r>
        <w:rPr>
          <w:rFonts w:hint="eastAsia" w:ascii="宋体" w:hAnsi="宋体" w:eastAsia="宋体" w:cs="宋体"/>
          <w:caps w:val="0"/>
          <w:smallCaps w:val="0"/>
          <w:color w:val="auto"/>
          <w:spacing w:val="11"/>
          <w:w w:val="100"/>
          <w:kern w:val="0"/>
          <w:sz w:val="24"/>
          <w:szCs w:val="24"/>
          <w:highlight w:val="none"/>
          <w:lang w:val="en-US" w:eastAsia="zh-CN" w:bidi="ar-SA"/>
        </w:rPr>
        <w:t>分（北京时间）前递交响应文件。</w:t>
      </w:r>
    </w:p>
    <w:p w14:paraId="55980784">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一、项目基本情况</w:t>
      </w:r>
    </w:p>
    <w:p w14:paraId="413BCB2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 xml:space="preserve">1、项目编号：ZCZB-F-2024-037   </w:t>
      </w:r>
    </w:p>
    <w:p w14:paraId="1BBE6A9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2、项目名称：洛阳市普通干线公路桥隧养护与运营规范化管理咨询服务</w:t>
      </w:r>
    </w:p>
    <w:p w14:paraId="70F4C49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3、采购方式：竞争性磋商</w:t>
      </w:r>
    </w:p>
    <w:p w14:paraId="5A92D2C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4、预算金额：278000.00元。</w:t>
      </w:r>
    </w:p>
    <w:p w14:paraId="16194B6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最高限价：同预算金额</w:t>
      </w:r>
    </w:p>
    <w:tbl>
      <w:tblPr>
        <w:tblStyle w:val="3"/>
        <w:tblW w:w="9008" w:type="dxa"/>
        <w:tblInd w:w="197" w:type="dxa"/>
        <w:tblLayout w:type="fixed"/>
        <w:tblCellMar>
          <w:top w:w="15" w:type="dxa"/>
          <w:left w:w="15" w:type="dxa"/>
          <w:bottom w:w="15" w:type="dxa"/>
          <w:right w:w="15" w:type="dxa"/>
        </w:tblCellMar>
      </w:tblPr>
      <w:tblGrid>
        <w:gridCol w:w="732"/>
        <w:gridCol w:w="626"/>
        <w:gridCol w:w="4363"/>
        <w:gridCol w:w="1562"/>
        <w:gridCol w:w="1725"/>
      </w:tblGrid>
      <w:tr w14:paraId="49838A88">
        <w:tblPrEx>
          <w:tblCellMar>
            <w:top w:w="15" w:type="dxa"/>
            <w:left w:w="15" w:type="dxa"/>
            <w:bottom w:w="15" w:type="dxa"/>
            <w:right w:w="15" w:type="dxa"/>
          </w:tblCellMar>
        </w:tblPrEx>
        <w:trPr>
          <w:trHeight w:val="571" w:hRule="atLeast"/>
        </w:trPr>
        <w:tc>
          <w:tcPr>
            <w:tcW w:w="73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680EF69">
            <w:pPr>
              <w:pStyle w:val="9"/>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序号</w:t>
            </w:r>
          </w:p>
        </w:tc>
        <w:tc>
          <w:tcPr>
            <w:tcW w:w="62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7C976D8">
            <w:pPr>
              <w:pStyle w:val="9"/>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包号</w:t>
            </w:r>
          </w:p>
        </w:tc>
        <w:tc>
          <w:tcPr>
            <w:tcW w:w="436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A863B51">
            <w:pPr>
              <w:pStyle w:val="9"/>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包名称</w:t>
            </w:r>
          </w:p>
        </w:tc>
        <w:tc>
          <w:tcPr>
            <w:tcW w:w="15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7826E90">
            <w:pPr>
              <w:pStyle w:val="9"/>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包预算（元）</w:t>
            </w:r>
          </w:p>
        </w:tc>
        <w:tc>
          <w:tcPr>
            <w:tcW w:w="172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0E72709">
            <w:pPr>
              <w:pStyle w:val="9"/>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包最高限价（元）</w:t>
            </w:r>
          </w:p>
        </w:tc>
      </w:tr>
      <w:tr w14:paraId="6997360D">
        <w:tblPrEx>
          <w:tblCellMar>
            <w:top w:w="15" w:type="dxa"/>
            <w:left w:w="15" w:type="dxa"/>
            <w:bottom w:w="15" w:type="dxa"/>
            <w:right w:w="15" w:type="dxa"/>
          </w:tblCellMar>
        </w:tblPrEx>
        <w:trPr>
          <w:trHeight w:val="1178" w:hRule="atLeast"/>
        </w:trPr>
        <w:tc>
          <w:tcPr>
            <w:tcW w:w="73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FE6A8FD">
            <w:pPr>
              <w:pStyle w:val="9"/>
              <w:keepNext w:val="0"/>
              <w:keepLines w:val="0"/>
              <w:pageBreakBefore w:val="0"/>
              <w:widowControl/>
              <w:kinsoku/>
              <w:wordWrap w:val="0"/>
              <w:overflowPunct/>
              <w:topLinePunct w:val="0"/>
              <w:bidi w:val="0"/>
              <w:adjustRightInd/>
              <w:snapToGrid/>
              <w:spacing w:line="480" w:lineRule="exact"/>
              <w:ind w:left="0" w:leftChars="0" w:right="0" w:rightChars="0" w:firstLine="0" w:firstLineChars="0"/>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1</w:t>
            </w:r>
          </w:p>
        </w:tc>
        <w:tc>
          <w:tcPr>
            <w:tcW w:w="62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BB04345">
            <w:pPr>
              <w:pStyle w:val="9"/>
              <w:keepNext w:val="0"/>
              <w:keepLines w:val="0"/>
              <w:pageBreakBefore w:val="0"/>
              <w:widowControl/>
              <w:kinsoku/>
              <w:wordWrap w:val="0"/>
              <w:overflowPunct/>
              <w:topLinePunct w:val="0"/>
              <w:bidi w:val="0"/>
              <w:adjustRightInd/>
              <w:snapToGrid/>
              <w:spacing w:line="480" w:lineRule="exact"/>
              <w:ind w:left="0" w:leftChars="0" w:right="0" w:rightChars="0" w:firstLine="0" w:firstLineChars="0"/>
              <w:jc w:val="center"/>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lang w:val="en-US" w:eastAsia="zh-CN"/>
              </w:rPr>
              <w:t>1</w:t>
            </w:r>
          </w:p>
        </w:tc>
        <w:tc>
          <w:tcPr>
            <w:tcW w:w="436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5E31052">
            <w:pPr>
              <w:pStyle w:val="9"/>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lang w:eastAsia="zh-CN"/>
              </w:rPr>
              <w:t>洛阳市普通干线公路桥隧养护与运营规范化管理咨询服务</w:t>
            </w:r>
          </w:p>
        </w:tc>
        <w:tc>
          <w:tcPr>
            <w:tcW w:w="15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CED2BF7">
            <w:pPr>
              <w:pStyle w:val="9"/>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kern w:val="0"/>
                <w:sz w:val="24"/>
                <w:szCs w:val="24"/>
                <w:highlight w:val="none"/>
                <w:lang w:val="en-US" w:eastAsia="zh-CN" w:bidi="ar-SA"/>
              </w:rPr>
              <w:t>278000.00</w:t>
            </w:r>
          </w:p>
        </w:tc>
        <w:tc>
          <w:tcPr>
            <w:tcW w:w="172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4B62AEA">
            <w:pPr>
              <w:pStyle w:val="9"/>
              <w:keepNext w:val="0"/>
              <w:keepLines w:val="0"/>
              <w:pageBreakBefore w:val="0"/>
              <w:widowControl/>
              <w:kinsoku/>
              <w:wordWrap w:val="0"/>
              <w:overflowPunct/>
              <w:topLinePunct w:val="0"/>
              <w:bidi w:val="0"/>
              <w:adjustRightInd/>
              <w:snapToGrid/>
              <w:spacing w:line="480" w:lineRule="exact"/>
              <w:ind w:left="0" w:leftChars="0" w:right="0" w:rightChars="0" w:firstLine="0" w:firstLineChars="0"/>
              <w:jc w:val="center"/>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kern w:val="0"/>
                <w:sz w:val="24"/>
                <w:szCs w:val="24"/>
                <w:highlight w:val="none"/>
                <w:lang w:val="en-US" w:eastAsia="zh-CN" w:bidi="ar-SA"/>
              </w:rPr>
              <w:t>278000.00</w:t>
            </w:r>
          </w:p>
        </w:tc>
      </w:tr>
    </w:tbl>
    <w:p w14:paraId="13D34A3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5、采购需求（包括但不限于标的的名称、数量、简要技术需求或服务要求等）：</w:t>
      </w:r>
    </w:p>
    <w:p w14:paraId="0C5D915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sz w:val="24"/>
          <w:szCs w:val="24"/>
          <w:highlight w:val="none"/>
        </w:rPr>
        <w:t>5.1</w:t>
      </w:r>
      <w:r>
        <w:rPr>
          <w:rFonts w:hint="eastAsia" w:ascii="宋体" w:hAnsi="宋体" w:eastAsia="宋体" w:cs="宋体"/>
          <w:caps w:val="0"/>
          <w:smallCaps w:val="0"/>
          <w:color w:val="auto"/>
          <w:spacing w:val="11"/>
          <w:w w:val="100"/>
          <w:sz w:val="24"/>
          <w:szCs w:val="24"/>
          <w:highlight w:val="none"/>
          <w:lang w:eastAsia="zh-CN"/>
        </w:rPr>
        <w:t>项目</w:t>
      </w:r>
      <w:r>
        <w:rPr>
          <w:rFonts w:hint="eastAsia" w:ascii="宋体" w:hAnsi="宋体" w:eastAsia="宋体" w:cs="宋体"/>
          <w:caps w:val="0"/>
          <w:smallCaps w:val="0"/>
          <w:color w:val="auto"/>
          <w:spacing w:val="11"/>
          <w:w w:val="100"/>
          <w:sz w:val="24"/>
          <w:szCs w:val="24"/>
          <w:highlight w:val="none"/>
        </w:rPr>
        <w:t>概况：</w:t>
      </w:r>
      <w:r>
        <w:rPr>
          <w:rFonts w:hint="eastAsia" w:ascii="宋体" w:hAnsi="宋体" w:eastAsia="宋体" w:cs="宋体"/>
          <w:caps w:val="0"/>
          <w:smallCaps w:val="0"/>
          <w:color w:val="auto"/>
          <w:spacing w:val="11"/>
          <w:w w:val="100"/>
          <w:sz w:val="24"/>
          <w:szCs w:val="24"/>
          <w:highlight w:val="none"/>
          <w:lang w:val="en-US" w:eastAsia="zh-CN"/>
        </w:rPr>
        <w:t>本项目为洛阳市普通干线公路桥隧养护与运营规范化管理咨询服务，具体内容详见磋商文件第三部分采购需求。</w:t>
      </w:r>
    </w:p>
    <w:p w14:paraId="7D49665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rPr>
        <w:t>5.</w:t>
      </w:r>
      <w:r>
        <w:rPr>
          <w:rFonts w:hint="eastAsia" w:ascii="宋体" w:hAnsi="宋体" w:eastAsia="宋体" w:cs="宋体"/>
          <w:caps w:val="0"/>
          <w:smallCaps w:val="0"/>
          <w:color w:val="auto"/>
          <w:spacing w:val="11"/>
          <w:w w:val="100"/>
          <w:sz w:val="24"/>
          <w:szCs w:val="24"/>
          <w:highlight w:val="none"/>
          <w:lang w:val="en-US" w:eastAsia="zh-CN"/>
        </w:rPr>
        <w:t>2</w:t>
      </w:r>
      <w:r>
        <w:rPr>
          <w:rFonts w:hint="eastAsia" w:ascii="宋体" w:hAnsi="宋体" w:eastAsia="宋体" w:cs="宋体"/>
          <w:caps w:val="0"/>
          <w:smallCaps w:val="0"/>
          <w:color w:val="auto"/>
          <w:spacing w:val="11"/>
          <w:w w:val="100"/>
          <w:sz w:val="24"/>
          <w:szCs w:val="24"/>
          <w:highlight w:val="none"/>
          <w:lang w:eastAsia="zh-CN"/>
        </w:rPr>
        <w:t>质量标准</w:t>
      </w:r>
      <w:r>
        <w:rPr>
          <w:rFonts w:hint="eastAsia" w:ascii="宋体" w:hAnsi="宋体" w:eastAsia="宋体" w:cs="宋体"/>
          <w:caps w:val="0"/>
          <w:smallCaps w:val="0"/>
          <w:color w:val="auto"/>
          <w:spacing w:val="11"/>
          <w:w w:val="100"/>
          <w:sz w:val="24"/>
          <w:szCs w:val="24"/>
          <w:highlight w:val="none"/>
        </w:rPr>
        <w:t>：</w:t>
      </w:r>
      <w:r>
        <w:rPr>
          <w:rFonts w:hint="eastAsia" w:ascii="宋体" w:hAnsi="宋体" w:eastAsia="宋体" w:cs="宋体"/>
          <w:caps w:val="0"/>
          <w:smallCaps w:val="0"/>
          <w:color w:val="auto"/>
          <w:spacing w:val="11"/>
          <w:w w:val="100"/>
          <w:sz w:val="24"/>
          <w:szCs w:val="24"/>
          <w:highlight w:val="none"/>
          <w:lang w:eastAsia="zh-CN"/>
        </w:rPr>
        <w:t>符合国家现行相关技术标准及行业技术要求，满足采购人要求。</w:t>
      </w:r>
    </w:p>
    <w:p w14:paraId="74ACDC9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sz w:val="24"/>
          <w:szCs w:val="24"/>
          <w:highlight w:val="none"/>
          <w:lang w:val="en-US" w:eastAsia="zh-CN"/>
        </w:rPr>
        <w:t>5.3服务</w:t>
      </w:r>
      <w:r>
        <w:rPr>
          <w:rFonts w:hint="eastAsia" w:ascii="宋体" w:hAnsi="宋体" w:eastAsia="宋体" w:cs="宋体"/>
          <w:caps w:val="0"/>
          <w:smallCaps w:val="0"/>
          <w:color w:val="auto"/>
          <w:spacing w:val="11"/>
          <w:w w:val="100"/>
          <w:sz w:val="24"/>
          <w:szCs w:val="24"/>
          <w:highlight w:val="none"/>
          <w:lang w:eastAsia="zh-CN"/>
        </w:rPr>
        <w:t>期</w:t>
      </w:r>
      <w:r>
        <w:rPr>
          <w:rFonts w:hint="eastAsia" w:ascii="宋体" w:hAnsi="宋体" w:eastAsia="宋体" w:cs="宋体"/>
          <w:caps w:val="0"/>
          <w:smallCaps w:val="0"/>
          <w:color w:val="auto"/>
          <w:spacing w:val="11"/>
          <w:w w:val="100"/>
          <w:sz w:val="24"/>
          <w:szCs w:val="24"/>
          <w:highlight w:val="none"/>
        </w:rPr>
        <w:t>：</w:t>
      </w:r>
      <w:r>
        <w:rPr>
          <w:rFonts w:hint="eastAsia" w:ascii="宋体" w:hAnsi="宋体" w:eastAsia="宋体" w:cs="宋体"/>
          <w:caps w:val="0"/>
          <w:smallCaps w:val="0"/>
          <w:color w:val="auto"/>
          <w:spacing w:val="11"/>
          <w:w w:val="100"/>
          <w:sz w:val="24"/>
          <w:szCs w:val="24"/>
          <w:highlight w:val="none"/>
          <w:lang w:val="en-US" w:eastAsia="zh-CN"/>
        </w:rPr>
        <w:t>合同签订后六个月内完成。</w:t>
      </w:r>
    </w:p>
    <w:p w14:paraId="0D883EE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rPr>
        <w:t>6、合同履行期限：</w:t>
      </w:r>
      <w:r>
        <w:rPr>
          <w:rFonts w:hint="eastAsia" w:ascii="宋体" w:hAnsi="宋体" w:eastAsia="宋体" w:cs="宋体"/>
          <w:caps w:val="0"/>
          <w:smallCaps w:val="0"/>
          <w:color w:val="auto"/>
          <w:spacing w:val="11"/>
          <w:w w:val="100"/>
          <w:sz w:val="24"/>
          <w:szCs w:val="24"/>
          <w:highlight w:val="none"/>
          <w:lang w:val="en-US" w:eastAsia="zh-CN"/>
        </w:rPr>
        <w:t>合同签订后六个月内完成。</w:t>
      </w:r>
    </w:p>
    <w:p w14:paraId="67FD9C0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7、本项目是否接受联合体投标：否</w:t>
      </w:r>
    </w:p>
    <w:p w14:paraId="5ED9645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8、是否接受进口产品：否</w:t>
      </w:r>
    </w:p>
    <w:p w14:paraId="21EFCBFB">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二、申请人资格要求</w:t>
      </w:r>
    </w:p>
    <w:p w14:paraId="318B02B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1、满足《中华人民共和国政府采购法》第二十二条规定；</w:t>
      </w:r>
    </w:p>
    <w:p w14:paraId="78BE438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2、落实政府采购政策满足的资格要求：</w:t>
      </w:r>
    </w:p>
    <w:p w14:paraId="7C5228C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2"/>
          <w:sz w:val="24"/>
          <w:szCs w:val="24"/>
          <w:highlight w:val="none"/>
          <w:lang w:val="en-US" w:eastAsia="zh-CN" w:bidi="ar-SA"/>
        </w:rPr>
        <w:t>本项目专门面向中小微（监狱、残疾人福利性单位）企业、优先采购节能环</w:t>
      </w:r>
      <w:r>
        <w:rPr>
          <w:rFonts w:hint="eastAsia" w:ascii="宋体" w:hAnsi="宋体" w:eastAsia="宋体" w:cs="宋体"/>
          <w:caps w:val="0"/>
          <w:smallCaps w:val="0"/>
          <w:color w:val="auto"/>
          <w:spacing w:val="11"/>
          <w:w w:val="100"/>
          <w:kern w:val="0"/>
          <w:sz w:val="24"/>
          <w:szCs w:val="24"/>
          <w:highlight w:val="none"/>
          <w:lang w:val="en-US" w:eastAsia="zh-CN" w:bidi="ar-SA"/>
        </w:rPr>
        <w:t>保产品，节约能源、支持创新、保护环境，落实绿色建筑，扶持不发达地区和少数民族地区，促进自主创新产业发展，支持脱贫攻坚。</w:t>
      </w:r>
    </w:p>
    <w:p w14:paraId="776B485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3、本项目的特定资格要求：</w:t>
      </w:r>
    </w:p>
    <w:p w14:paraId="510B98B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3.1供应商应具有独立承担民事责任能力，具有有效的企业法人营业执照或事业单位法人资格证书；</w:t>
      </w:r>
    </w:p>
    <w:p w14:paraId="05551D1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3.2供应商须按照洛财购[2021]11号文件要求在资格审查环节提供满足相应条件的书面承诺书，在编制响应文件时，按照规定提供《洛阳市政府采购供应商信用承诺函》（详见响应文件格式），不再需要提供以下证明材料：1）符合国家相关规定的财务状况报告；2）依法缴纳税收的证明材料；3）依法缴纳社会保障资金的证明材料；4）具备履行政府采购合同所必需的设备和专业技术能力的证明材料；5）参加政府采购活动前三年内在经营活动中没有重大违法记录的证明材料；6）未被列入失信被执行人、重大税收违法案件当事人名单政府采购严重违法失信行为记录名单的证明材料（采购人有权在签订合同前要求成交供应商提供相关证明材料以核实成交供应商承诺事项的真实性。）；</w:t>
      </w:r>
    </w:p>
    <w:p w14:paraId="08A300A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3.3本次采购不接受联合体投标,单位负责人为同一人或者存在控股、管理关系的不同单位，不得同时对本项目投标（提供加盖供应商企业公章的“国家企业信用信息公示系统”中公示的公司信息、股东或投资人信息截图，非企业性质的供应商无法在该公示系统查询的，则针对此项做出书面承诺，格式自拟并加盖企业公章）；</w:t>
      </w:r>
    </w:p>
    <w:p w14:paraId="418ABDA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3.4本项目实行资格后审，资格后审不合格的供应商的响应文件将按无效标处理。</w:t>
      </w:r>
    </w:p>
    <w:p w14:paraId="66F1C450">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三、获取磋商文件</w:t>
      </w:r>
    </w:p>
    <w:p w14:paraId="49D9AB9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1.时间：2025年01月</w:t>
      </w:r>
      <w:r>
        <w:rPr>
          <w:rFonts w:hint="eastAsia" w:ascii="宋体" w:hAnsi="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3日至2025年01月</w:t>
      </w:r>
      <w:r>
        <w:rPr>
          <w:rFonts w:hint="eastAsia" w:ascii="宋体" w:hAnsi="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9日，每天上午9:00时至11:30时，下午14:30时至17:00时（北京时间，法定节假日除外）</w:t>
      </w:r>
    </w:p>
    <w:p w14:paraId="5CDC68B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2、报名地点：洛阳市高新区河洛路与春城路交叉口建业华阳峰渡1-1811。</w:t>
      </w:r>
    </w:p>
    <w:p w14:paraId="5E6327F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报名必须携带资料：企业营业执照，法人授权委托书以及被授权人身份证及复印件，以及“二、供应商资格要求”中要求的证明资料。（注：以上各项要求查验原件并留复印件一套，复印件加盖单位公章有效）。</w:t>
      </w:r>
    </w:p>
    <w:p w14:paraId="50CD71D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注：本项目为资格后审，按以上要求报名并领取了磋商文件并不视为通过资格审查，资格审查工作在开标后由评标委员会独立负责。</w:t>
      </w:r>
    </w:p>
    <w:p w14:paraId="6AA1D3C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3、售价：100元/本，售出不退。</w:t>
      </w:r>
    </w:p>
    <w:p w14:paraId="0A6A895A">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四、 磋商文件的获取</w:t>
      </w:r>
    </w:p>
    <w:p w14:paraId="6D0B9BA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1、凡报名通过的投标单位，均可直接购买磋商文件。</w:t>
      </w:r>
    </w:p>
    <w:p w14:paraId="1AD5547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2、磋商文件每套售价100.00元，售后不退。</w:t>
      </w:r>
    </w:p>
    <w:p w14:paraId="32933138">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五、响应文件的递交</w:t>
      </w:r>
    </w:p>
    <w:p w14:paraId="67299D1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1、响应文件递交的截止时间及开标时间为：2025年01月14日</w:t>
      </w:r>
      <w:r>
        <w:rPr>
          <w:rFonts w:hint="eastAsia" w:ascii="宋体" w:hAnsi="宋体" w:cs="宋体"/>
          <w:caps w:val="0"/>
          <w:smallCaps w:val="0"/>
          <w:color w:val="auto"/>
          <w:spacing w:val="11"/>
          <w:w w:val="100"/>
          <w:kern w:val="0"/>
          <w:sz w:val="24"/>
          <w:szCs w:val="24"/>
          <w:highlight w:val="none"/>
          <w:lang w:val="en-US" w:eastAsia="zh-CN" w:bidi="ar-SA"/>
        </w:rPr>
        <w:t>09</w:t>
      </w:r>
      <w:r>
        <w:rPr>
          <w:rFonts w:hint="eastAsia" w:ascii="宋体" w:hAnsi="宋体" w:eastAsia="宋体" w:cs="宋体"/>
          <w:caps w:val="0"/>
          <w:smallCaps w:val="0"/>
          <w:color w:val="auto"/>
          <w:spacing w:val="11"/>
          <w:w w:val="100"/>
          <w:kern w:val="0"/>
          <w:sz w:val="24"/>
          <w:szCs w:val="24"/>
          <w:highlight w:val="none"/>
          <w:lang w:val="en-US" w:eastAsia="zh-CN" w:bidi="ar-SA"/>
        </w:rPr>
        <w:t>时</w:t>
      </w:r>
      <w:r>
        <w:rPr>
          <w:rFonts w:hint="eastAsia" w:ascii="宋体" w:hAnsi="宋体" w:cs="宋体"/>
          <w:caps w:val="0"/>
          <w:smallCaps w:val="0"/>
          <w:color w:val="auto"/>
          <w:spacing w:val="11"/>
          <w:w w:val="100"/>
          <w:kern w:val="0"/>
          <w:sz w:val="24"/>
          <w:szCs w:val="24"/>
          <w:highlight w:val="none"/>
          <w:lang w:val="en-US" w:eastAsia="zh-CN" w:bidi="ar-SA"/>
        </w:rPr>
        <w:t>30</w:t>
      </w:r>
      <w:r>
        <w:rPr>
          <w:rFonts w:hint="eastAsia" w:ascii="宋体" w:hAnsi="宋体" w:eastAsia="宋体" w:cs="宋体"/>
          <w:caps w:val="0"/>
          <w:smallCaps w:val="0"/>
          <w:color w:val="auto"/>
          <w:spacing w:val="11"/>
          <w:w w:val="100"/>
          <w:kern w:val="0"/>
          <w:sz w:val="24"/>
          <w:szCs w:val="24"/>
          <w:highlight w:val="none"/>
          <w:lang w:val="en-US" w:eastAsia="zh-CN" w:bidi="ar-SA"/>
        </w:rPr>
        <w:t>分（北京时间），开标地点为：洛阳市高新区河洛路与春城路交叉口建业华阳峰渡1-1811。</w:t>
      </w:r>
    </w:p>
    <w:p w14:paraId="2889F70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2、逾期送达的或者未送达指定地点的响应文件，采购人不予受理。</w:t>
      </w:r>
    </w:p>
    <w:p w14:paraId="441CC6DC">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六、发布公告的媒介及招标公告期限</w:t>
      </w:r>
    </w:p>
    <w:p w14:paraId="05DFA1A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本次招标公告在《中国招标投标公共服务平台》、《河南省电子招标投标公共服务平台》、《中国采购与招标网》和《洛阳市交通事业发展中心》上发布。采购公告期限为五个工作日2025年01月</w:t>
      </w:r>
      <w:r>
        <w:rPr>
          <w:rFonts w:hint="eastAsia" w:ascii="宋体" w:hAnsi="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3日至2025年01月</w:t>
      </w:r>
      <w:r>
        <w:rPr>
          <w:rFonts w:hint="eastAsia" w:ascii="宋体" w:hAnsi="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9日。</w:t>
      </w:r>
    </w:p>
    <w:p w14:paraId="400C5CAB">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七、其他补充事宜</w:t>
      </w:r>
    </w:p>
    <w:p w14:paraId="536BDC3D">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1、供应商在参与本项目磋商采购活动期间应及时关注本网站获取相关澄清或变更等信息。（如果有）</w:t>
      </w:r>
    </w:p>
    <w:p w14:paraId="2A42F7CE">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2、本次采购代理服务费由中标方支付，在领取成交通知书前向本采购代理机构支付。</w:t>
      </w:r>
    </w:p>
    <w:p w14:paraId="2B60DBA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八、凡是对本次招标提出询问，请按照以下方式联系</w:t>
      </w:r>
    </w:p>
    <w:p w14:paraId="577962A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1.采购人信息</w:t>
      </w:r>
    </w:p>
    <w:p w14:paraId="47E47A6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名称：洛阳市交通事业发展中心</w:t>
      </w:r>
    </w:p>
    <w:p w14:paraId="41EFB20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地址：洛阳市涧西区南昌路172号</w:t>
      </w:r>
    </w:p>
    <w:p w14:paraId="602CA0A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联系人：吕先生</w:t>
      </w:r>
    </w:p>
    <w:p w14:paraId="7A901BBD">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联系方式：0379-63213872</w:t>
      </w:r>
    </w:p>
    <w:p w14:paraId="06FB7A4E">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2.采购代理机构信息（如有）</w:t>
      </w:r>
    </w:p>
    <w:p w14:paraId="5456D0D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名称：中灿工程管理咨询有限公司</w:t>
      </w:r>
    </w:p>
    <w:p w14:paraId="717FEA6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地址：洛阳市高新区河洛路与春城路交叉口建业华阳峰渡1幢1-1812</w:t>
      </w:r>
    </w:p>
    <w:p w14:paraId="5BECF69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联系人：王先生</w:t>
      </w:r>
    </w:p>
    <w:p w14:paraId="0BF9BB3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 xml:space="preserve">联系方式：15737931877 </w:t>
      </w:r>
    </w:p>
    <w:p w14:paraId="52A6843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3.监管部门、联系方式：</w:t>
      </w:r>
    </w:p>
    <w:p w14:paraId="57327FC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监管部门：洛阳市交通运输局</w:t>
      </w:r>
    </w:p>
    <w:p w14:paraId="744A6BF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监管部门联系人：洛阳市交通运输局建设管理科</w:t>
      </w:r>
    </w:p>
    <w:p w14:paraId="675C376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监管部门联系方式：0379-63218170</w:t>
      </w:r>
    </w:p>
    <w:p w14:paraId="1C07FBB8">
      <w:pPr>
        <w:keepNext w:val="0"/>
        <w:keepLines w:val="0"/>
        <w:pageBreakBefore w:val="0"/>
        <w:kinsoku/>
        <w:overflowPunct/>
        <w:topLinePunct w:val="0"/>
        <w:bidi w:val="0"/>
        <w:adjustRightInd/>
        <w:snapToGrid/>
        <w:spacing w:line="480" w:lineRule="exact"/>
        <w:ind w:firstLine="524" w:firstLineChars="200"/>
        <w:jc w:val="right"/>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2025年01月</w:t>
      </w:r>
      <w:r>
        <w:rPr>
          <w:rFonts w:hint="eastAsia" w:ascii="宋体" w:hAnsi="宋体" w:cs="宋体"/>
          <w:caps w:val="0"/>
          <w:smallCaps w:val="0"/>
          <w:color w:val="auto"/>
          <w:spacing w:val="11"/>
          <w:w w:val="100"/>
          <w:kern w:val="0"/>
          <w:sz w:val="24"/>
          <w:szCs w:val="24"/>
          <w:highlight w:val="none"/>
          <w:lang w:val="en-US" w:eastAsia="zh-CN" w:bidi="ar-SA"/>
        </w:rPr>
        <w:t>0</w:t>
      </w:r>
      <w:bookmarkStart w:id="5" w:name="_GoBack"/>
      <w:bookmarkEnd w:id="5"/>
      <w:r>
        <w:rPr>
          <w:rFonts w:hint="eastAsia" w:ascii="宋体" w:hAnsi="宋体" w:eastAsia="宋体" w:cs="宋体"/>
          <w:caps w:val="0"/>
          <w:smallCaps w:val="0"/>
          <w:color w:val="auto"/>
          <w:spacing w:val="11"/>
          <w:w w:val="100"/>
          <w:kern w:val="0"/>
          <w:sz w:val="24"/>
          <w:szCs w:val="24"/>
          <w:highlight w:val="none"/>
          <w:lang w:val="en-US" w:eastAsia="zh-CN" w:bidi="ar-SA"/>
        </w:rPr>
        <w:t>2日</w:t>
      </w:r>
    </w:p>
    <w:p w14:paraId="23A9702A">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8B54B7"/>
    <w:rsid w:val="1CA565AE"/>
    <w:rsid w:val="408B54B7"/>
    <w:rsid w:val="59CD5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beforeLines="0" w:after="260" w:afterLines="0" w:line="416" w:lineRule="auto"/>
      <w:outlineLvl w:val="1"/>
    </w:pPr>
    <w:rPr>
      <w:rFonts w:ascii="Arial" w:hAnsi="Arial" w:eastAsia="黑体"/>
      <w:b/>
      <w:bCs/>
      <w:kern w:val="2"/>
      <w:sz w:val="32"/>
      <w:szCs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正文_20"/>
    <w:next w:val="6"/>
    <w:qFormat/>
    <w:uiPriority w:val="0"/>
    <w:pPr>
      <w:widowControl w:val="0"/>
      <w:jc w:val="both"/>
    </w:pPr>
    <w:rPr>
      <w:rFonts w:ascii="Calibri" w:hAnsi="Calibri" w:eastAsia="宋体" w:cs="Times New Roman"/>
      <w:kern w:val="2"/>
      <w:sz w:val="21"/>
      <w:szCs w:val="22"/>
      <w:lang w:val="en-US" w:eastAsia="zh-CN" w:bidi="ar-SA"/>
    </w:rPr>
  </w:style>
  <w:style w:type="paragraph" w:customStyle="1" w:styleId="6">
    <w:name w:val="正文文本_2"/>
    <w:basedOn w:val="5"/>
    <w:next w:val="7"/>
    <w:qFormat/>
    <w:uiPriority w:val="0"/>
    <w:rPr>
      <w:rFonts w:ascii="Calibri" w:hAnsi="Calibri" w:eastAsia="仿宋_GB2312"/>
      <w:kern w:val="2"/>
      <w:sz w:val="28"/>
      <w:szCs w:val="30"/>
    </w:rPr>
  </w:style>
  <w:style w:type="paragraph" w:customStyle="1" w:styleId="7">
    <w:name w:val="正文文本 2_2"/>
    <w:basedOn w:val="8"/>
    <w:qFormat/>
    <w:uiPriority w:val="0"/>
    <w:pPr>
      <w:jc w:val="center"/>
      <w:outlineLvl w:val="0"/>
    </w:pPr>
    <w:rPr>
      <w:rFonts w:ascii="楷体_GB2312" w:hAnsi="Calibri" w:eastAsia="仿宋_GB2312"/>
      <w:kern w:val="2"/>
      <w:sz w:val="30"/>
    </w:rPr>
  </w:style>
  <w:style w:type="paragraph" w:customStyle="1" w:styleId="8">
    <w:name w:val="正文_2_0"/>
    <w:next w:val="6"/>
    <w:qFormat/>
    <w:uiPriority w:val="0"/>
    <w:pPr>
      <w:widowControl w:val="0"/>
      <w:jc w:val="both"/>
    </w:pPr>
    <w:rPr>
      <w:rFonts w:ascii="Calibri" w:hAnsi="Calibri" w:eastAsia="宋体" w:cs="Times New Roman"/>
      <w:kern w:val="2"/>
      <w:sz w:val="21"/>
      <w:szCs w:val="22"/>
      <w:lang w:val="en-US" w:eastAsia="zh-CN" w:bidi="ar-SA"/>
    </w:rPr>
  </w:style>
  <w:style w:type="paragraph" w:customStyle="1" w:styleId="9">
    <w:name w:val="正文_1"/>
    <w:next w:val="10"/>
    <w:qFormat/>
    <w:uiPriority w:val="0"/>
    <w:pPr>
      <w:widowControl w:val="0"/>
      <w:jc w:val="both"/>
    </w:pPr>
    <w:rPr>
      <w:rFonts w:ascii="Times New Roman" w:hAnsi="Times New Roman" w:eastAsia="宋体" w:cs="Times New Roman"/>
      <w:lang w:val="en-US" w:eastAsia="zh-CN" w:bidi="ar-SA"/>
    </w:rPr>
  </w:style>
  <w:style w:type="paragraph" w:customStyle="1" w:styleId="10">
    <w:name w:val="Default_1"/>
    <w:next w:val="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1928</Words>
  <Characters>2098</Characters>
  <Lines>0</Lines>
  <Paragraphs>0</Paragraphs>
  <TotalTime>2</TotalTime>
  <ScaleCrop>false</ScaleCrop>
  <LinksUpToDate>false</LinksUpToDate>
  <CharactersWithSpaces>2103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2025-01-02T08:52:00Z</dcterms:created>
  <dc:creator>lucky</dc:creator>
  <cp:lastModifiedBy>lucky</cp:lastModifiedBy>
  <dcterms:modified xsi:type="dcterms:W3CDTF">2025-01-02T09:03:17Z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93647CE000294451AFCF00664D9A6D0A_13</vt:lpwstr>
  </property>
  <property fmtid="{D5CDD505-2E9C-101B-9397-08002B2CF9AE}" pid="4" name="KSOTemplateDocerSaveRecord">
    <vt:lpwstr>eyJoZGlkIjoiZDAzOThiNDI4NmZhNWE5ZDM1NTU1ODAwOGM2MmY0Y2QiLCJ1c2VySWQiOiIxNDYyNjE0MTI3In0=</vt:lpwstr>
  </property>
</Properties>
</file>