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4BE0687">
      <w:pPr>
        <w:spacing w:afterLines="150"/>
        <w:jc w:val="center"/>
        <w:rPr>
          <w:rFonts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lang w:val="en-US" w:eastAsia="zh-CN"/>
        </w:rPr>
        <w:t>二广高速公路洛阳城区段朱家仓互通改扩建工程竣工决算、工程审计、财务竣工决算审计服务项目招标代理机构遴选</w:t>
      </w:r>
      <w:r>
        <w:rPr>
          <w:rFonts w:hint="eastAsia" w:ascii="仿宋" w:hAnsi="仿宋" w:eastAsia="仿宋" w:cs="仿宋"/>
          <w:b/>
          <w:bCs/>
          <w:color w:val="auto"/>
          <w:sz w:val="32"/>
          <w:szCs w:val="32"/>
          <w:highlight w:val="none"/>
        </w:rPr>
        <w:t>公告</w:t>
      </w:r>
      <w:bookmarkStart w:id="1" w:name="_GoBack"/>
      <w:bookmarkEnd w:id="1"/>
    </w:p>
    <w:p w14:paraId="207C6BA1">
      <w:pPr>
        <w:jc w:val="left"/>
        <w:rPr>
          <w:rFonts w:ascii="仿宋" w:hAnsi="仿宋" w:eastAsia="仿宋" w:cs="仿宋"/>
          <w:color w:val="auto"/>
          <w:sz w:val="28"/>
          <w:szCs w:val="28"/>
          <w:highlight w:val="none"/>
          <w:u w:val="single"/>
        </w:rPr>
      </w:pPr>
      <w:r>
        <w:rPr>
          <w:rFonts w:hint="eastAsia" w:ascii="仿宋" w:hAnsi="仿宋" w:eastAsia="仿宋" w:cs="仿宋"/>
          <w:color w:val="auto"/>
          <w:sz w:val="28"/>
          <w:szCs w:val="28"/>
          <w:highlight w:val="none"/>
        </w:rPr>
        <w:t xml:space="preserve">    我单位拟定于</w:t>
      </w:r>
      <w:r>
        <w:rPr>
          <w:rFonts w:ascii="仿宋" w:hAnsi="仿宋" w:eastAsia="仿宋" w:cs="仿宋"/>
          <w:b/>
          <w:color w:val="auto"/>
          <w:sz w:val="28"/>
          <w:szCs w:val="28"/>
          <w:highlight w:val="none"/>
          <w:u w:val="single"/>
        </w:rPr>
        <w:t xml:space="preserve"> 202</w:t>
      </w:r>
      <w:r>
        <w:rPr>
          <w:rFonts w:hint="eastAsia" w:ascii="仿宋" w:hAnsi="仿宋" w:eastAsia="仿宋" w:cs="仿宋"/>
          <w:b/>
          <w:color w:val="auto"/>
          <w:sz w:val="28"/>
          <w:szCs w:val="28"/>
          <w:highlight w:val="none"/>
          <w:u w:val="single"/>
          <w:lang w:val="en-US" w:eastAsia="zh-CN"/>
        </w:rPr>
        <w:t>5</w:t>
      </w:r>
      <w:r>
        <w:rPr>
          <w:rFonts w:hint="eastAsia" w:ascii="仿宋" w:hAnsi="仿宋" w:eastAsia="仿宋" w:cs="仿宋"/>
          <w:b/>
          <w:color w:val="auto"/>
          <w:sz w:val="28"/>
          <w:szCs w:val="28"/>
          <w:highlight w:val="none"/>
          <w:u w:val="single"/>
        </w:rPr>
        <w:t>年</w:t>
      </w:r>
      <w:r>
        <w:rPr>
          <w:rFonts w:hint="eastAsia" w:ascii="仿宋" w:hAnsi="仿宋" w:eastAsia="仿宋" w:cs="仿宋"/>
          <w:b/>
          <w:color w:val="auto"/>
          <w:sz w:val="28"/>
          <w:szCs w:val="28"/>
          <w:highlight w:val="none"/>
          <w:u w:val="single"/>
          <w:lang w:val="en-US" w:eastAsia="zh-CN"/>
        </w:rPr>
        <w:t>04</w:t>
      </w:r>
      <w:r>
        <w:rPr>
          <w:rFonts w:hint="eastAsia" w:ascii="仿宋" w:hAnsi="仿宋" w:eastAsia="仿宋" w:cs="仿宋"/>
          <w:b/>
          <w:color w:val="auto"/>
          <w:sz w:val="28"/>
          <w:szCs w:val="28"/>
          <w:highlight w:val="none"/>
          <w:u w:val="single"/>
        </w:rPr>
        <w:t>月</w:t>
      </w:r>
      <w:r>
        <w:rPr>
          <w:rFonts w:hint="eastAsia" w:ascii="仿宋" w:hAnsi="仿宋" w:eastAsia="仿宋" w:cs="仿宋"/>
          <w:b/>
          <w:color w:val="auto"/>
          <w:sz w:val="28"/>
          <w:szCs w:val="28"/>
          <w:highlight w:val="none"/>
          <w:u w:val="single"/>
          <w:lang w:val="en-US" w:eastAsia="zh-CN"/>
        </w:rPr>
        <w:t>21</w:t>
      </w:r>
      <w:r>
        <w:rPr>
          <w:rFonts w:hint="eastAsia" w:ascii="仿宋" w:hAnsi="仿宋" w:eastAsia="仿宋" w:cs="仿宋"/>
          <w:b/>
          <w:color w:val="auto"/>
          <w:sz w:val="28"/>
          <w:szCs w:val="28"/>
          <w:highlight w:val="none"/>
          <w:u w:val="single"/>
        </w:rPr>
        <w:t>日</w:t>
      </w:r>
      <w:r>
        <w:rPr>
          <w:rFonts w:hint="eastAsia" w:ascii="仿宋" w:hAnsi="仿宋" w:eastAsia="仿宋" w:cs="仿宋"/>
          <w:b/>
          <w:color w:val="auto"/>
          <w:sz w:val="28"/>
          <w:szCs w:val="28"/>
          <w:highlight w:val="none"/>
          <w:u w:val="single"/>
          <w:lang w:val="en-US" w:eastAsia="zh-CN"/>
        </w:rPr>
        <w:t>10</w:t>
      </w:r>
      <w:r>
        <w:rPr>
          <w:rFonts w:hint="eastAsia" w:ascii="仿宋" w:hAnsi="仿宋" w:eastAsia="仿宋" w:cs="仿宋"/>
          <w:b/>
          <w:color w:val="auto"/>
          <w:sz w:val="28"/>
          <w:szCs w:val="28"/>
          <w:highlight w:val="none"/>
          <w:u w:val="single"/>
        </w:rPr>
        <w:t>时</w:t>
      </w:r>
      <w:r>
        <w:rPr>
          <w:rFonts w:hint="eastAsia" w:ascii="仿宋" w:hAnsi="仿宋" w:eastAsia="仿宋" w:cs="仿宋"/>
          <w:b/>
          <w:color w:val="auto"/>
          <w:sz w:val="28"/>
          <w:szCs w:val="28"/>
          <w:highlight w:val="none"/>
          <w:u w:val="single"/>
          <w:lang w:val="en-US" w:eastAsia="zh-CN"/>
        </w:rPr>
        <w:t>00</w:t>
      </w:r>
      <w:r>
        <w:rPr>
          <w:rFonts w:hint="eastAsia" w:ascii="仿宋" w:hAnsi="仿宋" w:eastAsia="仿宋" w:cs="仿宋"/>
          <w:b/>
          <w:color w:val="auto"/>
          <w:sz w:val="28"/>
          <w:szCs w:val="28"/>
          <w:highlight w:val="none"/>
          <w:u w:val="single"/>
        </w:rPr>
        <w:t>分</w:t>
      </w:r>
      <w:r>
        <w:rPr>
          <w:rFonts w:hint="eastAsia" w:ascii="仿宋" w:hAnsi="仿宋" w:eastAsia="仿宋" w:cs="仿宋"/>
          <w:b/>
          <w:bCs w:val="0"/>
          <w:color w:val="auto"/>
          <w:sz w:val="28"/>
          <w:szCs w:val="28"/>
          <w:highlight w:val="none"/>
          <w:u w:val="single"/>
        </w:rPr>
        <w:t>整</w:t>
      </w:r>
      <w:r>
        <w:rPr>
          <w:rFonts w:hint="eastAsia" w:ascii="仿宋" w:hAnsi="仿宋" w:eastAsia="仿宋" w:cs="仿宋"/>
          <w:b w:val="0"/>
          <w:bCs/>
          <w:color w:val="auto"/>
          <w:sz w:val="28"/>
          <w:szCs w:val="28"/>
          <w:highlight w:val="none"/>
        </w:rPr>
        <w:t>在</w:t>
      </w:r>
      <w:r>
        <w:rPr>
          <w:rFonts w:ascii="仿宋" w:hAnsi="仿宋" w:eastAsia="仿宋" w:cs="仿宋"/>
          <w:b/>
          <w:color w:val="auto"/>
          <w:sz w:val="28"/>
          <w:szCs w:val="28"/>
          <w:highlight w:val="none"/>
          <w:u w:val="single"/>
        </w:rPr>
        <w:t xml:space="preserve"> </w:t>
      </w:r>
      <w:r>
        <w:rPr>
          <w:rFonts w:hint="eastAsia" w:ascii="仿宋" w:hAnsi="仿宋" w:eastAsia="仿宋" w:cs="仿宋"/>
          <w:b/>
          <w:color w:val="auto"/>
          <w:sz w:val="28"/>
          <w:szCs w:val="28"/>
          <w:highlight w:val="none"/>
          <w:u w:val="single"/>
          <w:lang w:val="en-US" w:eastAsia="zh-CN"/>
        </w:rPr>
        <w:t xml:space="preserve">洛阳市交通运输事业发展中心615会议室 </w:t>
      </w:r>
      <w:r>
        <w:rPr>
          <w:rFonts w:hint="eastAsia" w:ascii="仿宋" w:hAnsi="仿宋" w:eastAsia="仿宋" w:cs="仿宋"/>
          <w:color w:val="auto"/>
          <w:sz w:val="28"/>
          <w:szCs w:val="28"/>
          <w:highlight w:val="none"/>
        </w:rPr>
        <w:t>召开</w:t>
      </w:r>
      <w:r>
        <w:rPr>
          <w:rFonts w:hint="eastAsia" w:ascii="仿宋" w:hAnsi="仿宋" w:eastAsia="仿宋" w:cs="仿宋"/>
          <w:sz w:val="28"/>
          <w:szCs w:val="28"/>
          <w:u w:val="single"/>
          <w:lang w:val="en-US" w:eastAsia="zh-CN"/>
        </w:rPr>
        <w:t>二广高速公路洛阳城区段朱家仓互通改扩建工程竣工决算、工程审计、财务竣工决算审计服务项目招标代理机构遴选</w:t>
      </w:r>
      <w:r>
        <w:rPr>
          <w:rFonts w:hint="eastAsia" w:ascii="仿宋" w:hAnsi="仿宋" w:eastAsia="仿宋" w:cs="仿宋"/>
          <w:color w:val="auto"/>
          <w:sz w:val="28"/>
          <w:szCs w:val="28"/>
          <w:highlight w:val="none"/>
        </w:rPr>
        <w:t>会议，欢迎各符合要求的招标代理机构参加此次遴选活动，现将遴选内容公告如下：</w:t>
      </w:r>
    </w:p>
    <w:p w14:paraId="0075C957">
      <w:pPr>
        <w:pStyle w:val="3"/>
        <w:numPr>
          <w:ilvl w:val="0"/>
          <w:numId w:val="1"/>
        </w:numPr>
        <w:spacing w:line="460" w:lineRule="exact"/>
        <w:rPr>
          <w:rFonts w:ascii="仿宋" w:hAnsi="仿宋" w:eastAsia="仿宋" w:cs="仿宋"/>
          <w:b/>
          <w:color w:val="auto"/>
          <w:szCs w:val="28"/>
          <w:highlight w:val="none"/>
        </w:rPr>
      </w:pPr>
      <w:r>
        <w:rPr>
          <w:rFonts w:hint="eastAsia" w:ascii="仿宋" w:hAnsi="仿宋" w:eastAsia="仿宋" w:cs="仿宋"/>
          <w:b/>
          <w:color w:val="auto"/>
          <w:szCs w:val="28"/>
          <w:highlight w:val="none"/>
        </w:rPr>
        <w:t>项目概况及委托招标范围</w:t>
      </w:r>
    </w:p>
    <w:p w14:paraId="1AC17B8C">
      <w:pPr>
        <w:spacing w:line="460" w:lineRule="exact"/>
        <w:ind w:firstLine="560" w:firstLineChars="200"/>
        <w:rPr>
          <w:rFonts w:hint="eastAsia" w:ascii="仿宋" w:hAnsi="仿宋" w:eastAsia="仿宋" w:cs="仿宋"/>
          <w:color w:val="auto"/>
          <w:sz w:val="28"/>
          <w:szCs w:val="28"/>
          <w:highlight w:val="none"/>
          <w:u w:val="single"/>
          <w:lang w:eastAsia="zh-CN"/>
        </w:rPr>
      </w:pPr>
      <w:r>
        <w:rPr>
          <w:rFonts w:hint="eastAsia" w:ascii="仿宋" w:hAnsi="仿宋" w:eastAsia="仿宋" w:cs="仿宋"/>
          <w:color w:val="auto"/>
          <w:sz w:val="28"/>
          <w:szCs w:val="28"/>
          <w:highlight w:val="none"/>
        </w:rPr>
        <w:t>1、项目名称</w:t>
      </w:r>
      <w:r>
        <w:rPr>
          <w:rFonts w:hint="eastAsia" w:ascii="仿宋" w:hAnsi="仿宋" w:eastAsia="仿宋" w:cs="仿宋"/>
          <w:color w:val="auto"/>
          <w:sz w:val="28"/>
          <w:szCs w:val="28"/>
          <w:highlight w:val="none"/>
          <w:u w:val="single"/>
        </w:rPr>
        <w:t>：</w:t>
      </w:r>
      <w:r>
        <w:rPr>
          <w:rFonts w:hint="eastAsia" w:ascii="仿宋" w:hAnsi="仿宋" w:eastAsia="仿宋" w:cs="仿宋"/>
          <w:sz w:val="28"/>
          <w:szCs w:val="28"/>
          <w:u w:val="single"/>
          <w:lang w:val="en-US" w:eastAsia="zh-CN"/>
        </w:rPr>
        <w:t>二广高速公路洛阳城区段朱家仓互通改扩建工程竣工决算、工程审计、财务竣工决算审计服务项目招标代理机构遴选</w:t>
      </w:r>
      <w:r>
        <w:rPr>
          <w:rFonts w:hint="eastAsia" w:ascii="仿宋" w:hAnsi="仿宋" w:eastAsia="仿宋" w:cs="仿宋"/>
          <w:color w:val="auto"/>
          <w:sz w:val="32"/>
          <w:szCs w:val="32"/>
          <w:highlight w:val="none"/>
          <w:u w:val="single"/>
          <w:lang w:eastAsia="zh-CN"/>
        </w:rPr>
        <w:t>。</w:t>
      </w:r>
    </w:p>
    <w:p w14:paraId="4610F4C3">
      <w:pPr>
        <w:spacing w:line="460" w:lineRule="exact"/>
        <w:ind w:firstLine="560" w:firstLineChars="200"/>
        <w:rPr>
          <w:rFonts w:hint="default" w:ascii="仿宋" w:hAnsi="仿宋" w:eastAsia="仿宋" w:cs="仿宋"/>
          <w:color w:val="auto"/>
          <w:sz w:val="28"/>
          <w:szCs w:val="28"/>
          <w:highlight w:val="none"/>
          <w:u w:val="single"/>
          <w:lang w:val="en-US" w:eastAsia="zh-CN"/>
        </w:rPr>
      </w:pPr>
      <w:r>
        <w:rPr>
          <w:rFonts w:hint="eastAsia" w:ascii="仿宋" w:hAnsi="仿宋" w:eastAsia="仿宋" w:cs="仿宋"/>
          <w:color w:val="auto"/>
          <w:sz w:val="28"/>
          <w:szCs w:val="28"/>
          <w:highlight w:val="none"/>
        </w:rPr>
        <w:t>2、委托招标代理范围：</w:t>
      </w:r>
      <w:r>
        <w:rPr>
          <w:rFonts w:hint="eastAsia" w:ascii="仿宋" w:hAnsi="仿宋" w:eastAsia="仿宋" w:cs="仿宋"/>
          <w:sz w:val="28"/>
          <w:szCs w:val="28"/>
          <w:u w:val="single"/>
          <w:lang w:val="en-US" w:eastAsia="zh-CN"/>
        </w:rPr>
        <w:t>二广高速公路洛阳城区段朱家仓互通改扩建工程竣工决算、工程审计、财务竣工决算审计服务项目招标代理机构遴选。</w:t>
      </w:r>
    </w:p>
    <w:p w14:paraId="615D2DFC">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3、资金来源及预算金额：</w:t>
      </w:r>
      <w:r>
        <w:rPr>
          <w:rFonts w:hint="eastAsia" w:ascii="仿宋" w:hAnsi="仿宋" w:eastAsia="仿宋" w:cs="仿宋"/>
          <w:color w:val="auto"/>
          <w:kern w:val="2"/>
          <w:sz w:val="28"/>
          <w:szCs w:val="28"/>
          <w:highlight w:val="none"/>
          <w:u w:val="single"/>
          <w:lang w:val="en-US" w:eastAsia="zh-CN"/>
        </w:rPr>
        <w:t>财政</w:t>
      </w:r>
      <w:r>
        <w:rPr>
          <w:rFonts w:hint="eastAsia" w:ascii="仿宋" w:hAnsi="仿宋" w:eastAsia="仿宋" w:cs="仿宋"/>
          <w:color w:val="auto"/>
          <w:kern w:val="2"/>
          <w:sz w:val="28"/>
          <w:szCs w:val="28"/>
          <w:highlight w:val="none"/>
          <w:u w:val="single"/>
        </w:rPr>
        <w:t>资金</w:t>
      </w:r>
      <w:r>
        <w:rPr>
          <w:rFonts w:hint="eastAsia" w:ascii="仿宋" w:hAnsi="仿宋" w:eastAsia="仿宋" w:cs="仿宋"/>
          <w:color w:val="auto"/>
          <w:kern w:val="2"/>
          <w:sz w:val="28"/>
          <w:szCs w:val="28"/>
          <w:highlight w:val="none"/>
          <w:u w:val="none"/>
          <w:lang w:eastAsia="zh-CN"/>
        </w:rPr>
        <w:t>，</w:t>
      </w:r>
      <w:r>
        <w:rPr>
          <w:rFonts w:hint="eastAsia" w:ascii="仿宋" w:hAnsi="仿宋" w:eastAsia="仿宋" w:cs="仿宋"/>
          <w:color w:val="auto"/>
          <w:kern w:val="2"/>
          <w:sz w:val="28"/>
          <w:szCs w:val="28"/>
          <w:highlight w:val="none"/>
          <w:u w:val="single"/>
          <w:lang w:val="en-US" w:eastAsia="zh-CN"/>
        </w:rPr>
        <w:t>364100.51</w:t>
      </w:r>
      <w:r>
        <w:rPr>
          <w:rFonts w:hint="eastAsia" w:ascii="仿宋" w:hAnsi="仿宋" w:eastAsia="仿宋" w:cs="仿宋"/>
          <w:color w:val="auto"/>
          <w:kern w:val="2"/>
          <w:sz w:val="28"/>
          <w:szCs w:val="28"/>
          <w:highlight w:val="none"/>
          <w:lang w:val="en-US" w:eastAsia="zh-CN"/>
        </w:rPr>
        <w:t>元</w:t>
      </w:r>
      <w:r>
        <w:rPr>
          <w:rFonts w:hint="eastAsia" w:ascii="仿宋" w:hAnsi="仿宋" w:eastAsia="仿宋" w:cs="仿宋"/>
          <w:color w:val="auto"/>
          <w:kern w:val="2"/>
          <w:sz w:val="28"/>
          <w:szCs w:val="28"/>
          <w:highlight w:val="none"/>
        </w:rPr>
        <w:t>；</w:t>
      </w:r>
    </w:p>
    <w:p w14:paraId="0815ED12">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lang w:val="en-US" w:eastAsia="zh-CN"/>
        </w:rPr>
        <w:t>4、</w:t>
      </w:r>
      <w:r>
        <w:rPr>
          <w:rFonts w:hint="eastAsia" w:ascii="仿宋" w:hAnsi="仿宋" w:eastAsia="仿宋" w:cs="仿宋"/>
          <w:color w:val="auto"/>
          <w:kern w:val="2"/>
          <w:sz w:val="28"/>
          <w:szCs w:val="28"/>
          <w:highlight w:val="none"/>
        </w:rPr>
        <w:t>最终选定的招标代理机构依照国家相关法律法规提供招标代理全过程服务，具体包括提供招标文件编制、送审备案采购招标文件、公告上网、组织开标、评标、定标、发出中标通知书、整理项目档案等相关业务。</w:t>
      </w:r>
    </w:p>
    <w:p w14:paraId="193B36B6">
      <w:pPr>
        <w:pStyle w:val="3"/>
        <w:spacing w:line="460" w:lineRule="exact"/>
        <w:ind w:firstLine="602" w:firstLineChars="200"/>
        <w:rPr>
          <w:rFonts w:ascii="仿宋" w:hAnsi="仿宋" w:eastAsia="仿宋" w:cs="仿宋"/>
          <w:b/>
          <w:color w:val="auto"/>
          <w:szCs w:val="28"/>
          <w:highlight w:val="none"/>
        </w:rPr>
      </w:pPr>
      <w:r>
        <w:rPr>
          <w:rFonts w:hint="eastAsia" w:ascii="仿宋" w:hAnsi="仿宋" w:eastAsia="仿宋" w:cs="仿宋"/>
          <w:b/>
          <w:color w:val="auto"/>
          <w:szCs w:val="28"/>
          <w:highlight w:val="none"/>
        </w:rPr>
        <w:t>二、遴选资格要求及代理工作要求</w:t>
      </w:r>
    </w:p>
    <w:p w14:paraId="5D1313FA">
      <w:pPr>
        <w:pStyle w:val="3"/>
        <w:spacing w:line="460" w:lineRule="exact"/>
        <w:ind w:firstLine="600" w:firstLineChars="200"/>
        <w:rPr>
          <w:rFonts w:ascii="仿宋" w:hAnsi="仿宋" w:eastAsia="仿宋" w:cs="仿宋"/>
          <w:color w:val="auto"/>
          <w:kern w:val="2"/>
          <w:sz w:val="28"/>
          <w:szCs w:val="28"/>
          <w:highlight w:val="none"/>
        </w:rPr>
      </w:pPr>
      <w:r>
        <w:rPr>
          <w:rFonts w:ascii="仿宋" w:hAnsi="仿宋" w:eastAsia="仿宋" w:cs="仿宋"/>
          <w:color w:val="auto"/>
          <w:szCs w:val="28"/>
          <w:highlight w:val="none"/>
        </w:rPr>
        <w:t>1</w:t>
      </w:r>
      <w:r>
        <w:rPr>
          <w:rFonts w:hint="eastAsia" w:ascii="仿宋" w:hAnsi="仿宋" w:eastAsia="仿宋" w:cs="仿宋"/>
          <w:color w:val="auto"/>
          <w:szCs w:val="28"/>
          <w:highlight w:val="none"/>
        </w:rPr>
        <w:t>、</w:t>
      </w:r>
      <w:r>
        <w:rPr>
          <w:rFonts w:hint="eastAsia" w:ascii="仿宋" w:hAnsi="仿宋" w:eastAsia="仿宋" w:cs="仿宋"/>
          <w:color w:val="auto"/>
          <w:kern w:val="2"/>
          <w:sz w:val="28"/>
          <w:szCs w:val="28"/>
          <w:highlight w:val="none"/>
        </w:rPr>
        <w:t>在中华人民共和国境内注册并取得营业执照的独立法人，具有相应经营范围，并附投标人法人营业执照和税务登记证、组织机构代码证等相关证件（三证合一只提供营业执照副本）（复印件加盖公司公章）；</w:t>
      </w:r>
    </w:p>
    <w:p w14:paraId="591F3D20">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2、法定代表人授权委托书（原件，格式详见附件）；授权委托人须为招标代理单位自有人员，须提供授权委托人近半年内任意连续3个月的社保证明资料（附社保证明资料复印件加盖公司公章）；</w:t>
      </w:r>
    </w:p>
    <w:p w14:paraId="4F90B29C">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3、须在中国招标投标公共服务平台、河南省电子招标投标公共服务平台、洛阳市政府采购网和洛阳市公共资源交易中心网站登记备案（截图加盖公章）；</w:t>
      </w:r>
    </w:p>
    <w:p w14:paraId="33CE49AC">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4、应出具招标代理单位及法人未被列入经营异常名录、严重违法失信名单、失信被执行人、重大税收违法案件当事人名单、政府采购严重违法失信行为记录名单的网站查询截图（截图并加盖公司公章）；</w:t>
      </w:r>
    </w:p>
    <w:p w14:paraId="1AFEB5C9">
      <w:pPr>
        <w:pStyle w:val="3"/>
        <w:spacing w:line="460" w:lineRule="exact"/>
        <w:ind w:firstLine="560" w:firstLineChars="200"/>
        <w:rPr>
          <w:rFonts w:hint="eastAsia"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5、近两年不少于</w:t>
      </w:r>
      <w:r>
        <w:rPr>
          <w:rFonts w:hint="eastAsia" w:ascii="仿宋" w:hAnsi="仿宋" w:eastAsia="仿宋" w:cs="仿宋"/>
          <w:color w:val="auto"/>
          <w:kern w:val="2"/>
          <w:sz w:val="28"/>
          <w:szCs w:val="28"/>
          <w:highlight w:val="none"/>
          <w:lang w:val="en-US" w:eastAsia="zh-CN"/>
        </w:rPr>
        <w:t>一</w:t>
      </w:r>
      <w:r>
        <w:rPr>
          <w:rFonts w:hint="eastAsia" w:ascii="仿宋" w:hAnsi="仿宋" w:eastAsia="仿宋" w:cs="仿宋"/>
          <w:color w:val="auto"/>
          <w:kern w:val="2"/>
          <w:sz w:val="28"/>
          <w:szCs w:val="28"/>
          <w:highlight w:val="none"/>
        </w:rPr>
        <w:t>项</w:t>
      </w:r>
      <w:r>
        <w:rPr>
          <w:rFonts w:hint="eastAsia" w:ascii="仿宋" w:hAnsi="仿宋" w:eastAsia="仿宋" w:cs="仿宋"/>
          <w:color w:val="auto"/>
          <w:kern w:val="2"/>
          <w:sz w:val="28"/>
          <w:szCs w:val="28"/>
          <w:highlight w:val="none"/>
          <w:lang w:val="en-US" w:eastAsia="zh-CN"/>
        </w:rPr>
        <w:t>审计</w:t>
      </w:r>
      <w:r>
        <w:rPr>
          <w:rFonts w:hint="eastAsia" w:ascii="仿宋" w:hAnsi="仿宋" w:eastAsia="仿宋" w:cs="仿宋"/>
          <w:color w:val="auto"/>
          <w:kern w:val="2"/>
          <w:sz w:val="28"/>
          <w:szCs w:val="28"/>
          <w:highlight w:val="none"/>
        </w:rPr>
        <w:t>招标业绩证明资料（加盖公章的合同复印件及业绩中标公示网上截图）</w:t>
      </w:r>
    </w:p>
    <w:p w14:paraId="1BF12826">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lang w:val="en-US" w:eastAsia="zh-CN"/>
        </w:rPr>
        <w:t>6</w:t>
      </w:r>
      <w:r>
        <w:rPr>
          <w:rFonts w:hint="eastAsia" w:ascii="仿宋" w:hAnsi="仿宋" w:eastAsia="仿宋" w:cs="仿宋"/>
          <w:color w:val="auto"/>
          <w:kern w:val="2"/>
          <w:sz w:val="28"/>
          <w:szCs w:val="28"/>
          <w:highlight w:val="none"/>
        </w:rPr>
        <w:t>、人员配备：拟投入本项目招标工作的专职人员不少于2人，参加过规定的工程招标及政府采购培训、熟悉有关工程招标及政府采购活动的法律法规及规章制度的经济和技术方面的专业知识。（附证明人员配置专业合理性及有类似能力方面的资料，如：注册证书、执业证书、职称证书、培训证书等扫描件并加盖公司公章）</w:t>
      </w:r>
    </w:p>
    <w:p w14:paraId="73F58C24">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lang w:val="en-US" w:eastAsia="zh-CN"/>
        </w:rPr>
        <w:t>7</w:t>
      </w:r>
      <w:r>
        <w:rPr>
          <w:rFonts w:hint="eastAsia" w:ascii="仿宋" w:hAnsi="仿宋" w:eastAsia="仿宋" w:cs="仿宋"/>
          <w:color w:val="auto"/>
          <w:kern w:val="2"/>
          <w:sz w:val="28"/>
          <w:szCs w:val="28"/>
          <w:highlight w:val="none"/>
        </w:rPr>
        <w:t>、服务方案：</w:t>
      </w:r>
    </w:p>
    <w:p w14:paraId="302D7914">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根据相关法律、法规、条例、办法、及</w:t>
      </w:r>
      <w:r>
        <w:rPr>
          <w:rFonts w:hint="eastAsia" w:ascii="仿宋" w:hAnsi="仿宋" w:eastAsia="仿宋" w:cs="仿宋"/>
          <w:color w:val="auto"/>
          <w:kern w:val="2"/>
          <w:sz w:val="28"/>
          <w:szCs w:val="28"/>
          <w:highlight w:val="none"/>
          <w:lang w:val="en-US" w:eastAsia="zh-CN"/>
        </w:rPr>
        <w:t>行业</w:t>
      </w:r>
      <w:r>
        <w:rPr>
          <w:rFonts w:hint="eastAsia" w:ascii="仿宋" w:hAnsi="仿宋" w:eastAsia="仿宋" w:cs="仿宋"/>
          <w:color w:val="auto"/>
          <w:kern w:val="2"/>
          <w:sz w:val="28"/>
          <w:szCs w:val="28"/>
          <w:highlight w:val="none"/>
        </w:rPr>
        <w:t>招标范本等相关内容，对本次招标服务的工作内容、工作方法、工作流程编制合理、科学、有效及针对性强的招标方案，对实施要点、工作重难点进行分析，制定确保招标工作规范完成的保证措施和应急措施。</w:t>
      </w:r>
    </w:p>
    <w:p w14:paraId="21734813">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lang w:val="en-US" w:eastAsia="zh-CN"/>
        </w:rPr>
        <w:t>8</w:t>
      </w:r>
      <w:r>
        <w:rPr>
          <w:rFonts w:hint="eastAsia" w:ascii="仿宋" w:hAnsi="仿宋" w:eastAsia="仿宋" w:cs="仿宋"/>
          <w:color w:val="auto"/>
          <w:kern w:val="2"/>
          <w:sz w:val="28"/>
          <w:szCs w:val="28"/>
          <w:highlight w:val="none"/>
        </w:rPr>
        <w:t>、代理工作要求</w:t>
      </w:r>
    </w:p>
    <w:p w14:paraId="5EE73047">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（1）代理机构须承诺在本项目招标工作过程中遵守招投标相关规定能够公开、公平、公正、专业的从事本项目招标工作。</w:t>
      </w:r>
    </w:p>
    <w:p w14:paraId="361F3449">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（2）代理机构须承诺合理规划招标工作的服务响应时间，做到如下招标工作的响应时限要求：</w:t>
      </w:r>
    </w:p>
    <w:p w14:paraId="7AB72A0E">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编制招标文件时限要求：接到业主通知5个工作日内完成；</w:t>
      </w:r>
    </w:p>
    <w:p w14:paraId="03A06FC9">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招标相关资料审查报备时限要求：3个工作日内完成；</w:t>
      </w:r>
    </w:p>
    <w:p w14:paraId="345D2DC4">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递交招标汇编资料时限要求：开标后5个工作日内完成。</w:t>
      </w:r>
    </w:p>
    <w:p w14:paraId="01A808C9">
      <w:pPr>
        <w:pStyle w:val="3"/>
        <w:spacing w:line="460" w:lineRule="exact"/>
        <w:ind w:firstLine="560" w:firstLineChars="200"/>
        <w:rPr>
          <w:rFonts w:hint="eastAsia" w:ascii="仿宋" w:hAnsi="仿宋" w:eastAsia="仿宋" w:cs="仿宋"/>
          <w:color w:val="auto"/>
          <w:sz w:val="28"/>
          <w:szCs w:val="28"/>
          <w:highlight w:val="none"/>
        </w:rPr>
      </w:pPr>
      <w:r>
        <w:rPr>
          <w:rFonts w:hint="eastAsia" w:ascii="仿宋" w:hAnsi="仿宋" w:eastAsia="仿宋" w:cs="仿宋"/>
          <w:bCs/>
          <w:color w:val="auto"/>
          <w:sz w:val="28"/>
          <w:szCs w:val="28"/>
          <w:highlight w:val="none"/>
          <w:lang w:val="en-US" w:eastAsia="zh-CN"/>
        </w:rPr>
        <w:t>9</w:t>
      </w:r>
      <w:r>
        <w:rPr>
          <w:rFonts w:hint="eastAsia" w:ascii="仿宋" w:hAnsi="仿宋" w:eastAsia="仿宋" w:cs="仿宋"/>
          <w:bCs/>
          <w:color w:val="auto"/>
          <w:sz w:val="28"/>
          <w:szCs w:val="28"/>
          <w:highlight w:val="none"/>
        </w:rPr>
        <w:t>、</w:t>
      </w:r>
      <w:r>
        <w:rPr>
          <w:rFonts w:hint="eastAsia" w:ascii="仿宋" w:hAnsi="仿宋" w:eastAsia="仿宋" w:cs="仿宋"/>
          <w:color w:val="auto"/>
          <w:sz w:val="28"/>
          <w:szCs w:val="28"/>
          <w:highlight w:val="none"/>
        </w:rPr>
        <w:t>报价表（原件，格式详见附件）：招标代理收费标准参照财政局下发洛财购【2019】3号文标准，报招标代理服务收费优惠率。</w:t>
      </w:r>
    </w:p>
    <w:p w14:paraId="58606AB2">
      <w:pPr>
        <w:pStyle w:val="3"/>
        <w:spacing w:line="460" w:lineRule="exact"/>
        <w:ind w:firstLine="562" w:firstLineChars="200"/>
        <w:rPr>
          <w:rFonts w:ascii="仿宋" w:hAnsi="仿宋" w:eastAsia="仿宋" w:cs="仿宋"/>
          <w:b/>
          <w:color w:val="auto"/>
          <w:sz w:val="28"/>
          <w:szCs w:val="28"/>
          <w:highlight w:val="none"/>
        </w:rPr>
      </w:pPr>
      <w:r>
        <w:rPr>
          <w:rFonts w:hint="eastAsia" w:ascii="仿宋" w:hAnsi="仿宋" w:eastAsia="仿宋" w:cs="仿宋"/>
          <w:b/>
          <w:color w:val="auto"/>
          <w:sz w:val="28"/>
          <w:szCs w:val="28"/>
          <w:highlight w:val="none"/>
        </w:rPr>
        <w:t>三、申请人有下列情形之一的将否定本次遴选资审：</w:t>
      </w:r>
    </w:p>
    <w:p w14:paraId="1CD1B4DF">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1</w:t>
      </w:r>
      <w:r>
        <w:rPr>
          <w:rFonts w:hint="eastAsia" w:ascii="仿宋" w:hAnsi="仿宋" w:eastAsia="仿宋" w:cs="仿宋"/>
          <w:color w:val="auto"/>
          <w:sz w:val="28"/>
          <w:szCs w:val="28"/>
          <w:highlight w:val="none"/>
        </w:rPr>
        <w:t>、被依法取消经营资格的；</w:t>
      </w:r>
    </w:p>
    <w:p w14:paraId="49109213">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2</w:t>
      </w:r>
      <w:r>
        <w:rPr>
          <w:rFonts w:hint="eastAsia" w:ascii="仿宋" w:hAnsi="仿宋" w:eastAsia="仿宋" w:cs="仿宋"/>
          <w:color w:val="auto"/>
          <w:sz w:val="28"/>
          <w:szCs w:val="28"/>
          <w:highlight w:val="none"/>
        </w:rPr>
        <w:t>、被依法责令停业且在处罚期内的；</w:t>
      </w:r>
    </w:p>
    <w:p w14:paraId="19774A73">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3</w:t>
      </w:r>
      <w:r>
        <w:rPr>
          <w:rFonts w:hint="eastAsia" w:ascii="仿宋" w:hAnsi="仿宋" w:eastAsia="仿宋" w:cs="仿宋"/>
          <w:color w:val="auto"/>
          <w:sz w:val="28"/>
          <w:szCs w:val="28"/>
          <w:highlight w:val="none"/>
        </w:rPr>
        <w:t>、财产依法被接管、冻结的；</w:t>
      </w:r>
    </w:p>
    <w:p w14:paraId="2199E3CF">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4</w:t>
      </w:r>
      <w:r>
        <w:rPr>
          <w:rFonts w:hint="eastAsia" w:ascii="仿宋" w:hAnsi="仿宋" w:eastAsia="仿宋" w:cs="仿宋"/>
          <w:color w:val="auto"/>
          <w:sz w:val="28"/>
          <w:szCs w:val="28"/>
          <w:highlight w:val="none"/>
        </w:rPr>
        <w:t>、涂改、出租、出借、转让资格证书的；</w:t>
      </w:r>
    </w:p>
    <w:p w14:paraId="214A23F0">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5</w:t>
      </w:r>
      <w:r>
        <w:rPr>
          <w:rFonts w:hint="eastAsia" w:ascii="仿宋" w:hAnsi="仿宋" w:eastAsia="仿宋" w:cs="仿宋"/>
          <w:color w:val="auto"/>
          <w:sz w:val="28"/>
          <w:szCs w:val="28"/>
          <w:highlight w:val="none"/>
        </w:rPr>
        <w:t>、近两年因弄虚作假行为，受到行政或者刑事处罚的；</w:t>
      </w:r>
    </w:p>
    <w:p w14:paraId="3EBF5BFD">
      <w:pPr>
        <w:pStyle w:val="3"/>
        <w:spacing w:line="460" w:lineRule="exact"/>
        <w:ind w:firstLine="560" w:firstLineChars="200"/>
        <w:rPr>
          <w:rFonts w:hint="eastAsia" w:ascii="仿宋" w:hAnsi="仿宋" w:eastAsia="仿宋" w:cs="仿宋"/>
          <w:color w:val="auto"/>
          <w:sz w:val="28"/>
          <w:szCs w:val="28"/>
          <w:highlight w:val="none"/>
          <w:lang w:val="en-US" w:eastAsia="zh-CN"/>
        </w:rPr>
      </w:pPr>
      <w:r>
        <w:rPr>
          <w:rFonts w:ascii="仿宋" w:hAnsi="仿宋" w:eastAsia="仿宋" w:cs="仿宋"/>
          <w:color w:val="auto"/>
          <w:sz w:val="28"/>
          <w:szCs w:val="28"/>
          <w:highlight w:val="none"/>
        </w:rPr>
        <w:t>6</w:t>
      </w:r>
      <w:r>
        <w:rPr>
          <w:rFonts w:hint="eastAsia" w:ascii="仿宋" w:hAnsi="仿宋" w:eastAsia="仿宋" w:cs="仿宋"/>
          <w:color w:val="auto"/>
          <w:sz w:val="28"/>
          <w:szCs w:val="28"/>
          <w:highlight w:val="none"/>
        </w:rPr>
        <w:t>、近两年被交通建设领域有过不良举报、串标等不良行为。</w:t>
      </w:r>
    </w:p>
    <w:p w14:paraId="29E5FCCD">
      <w:pPr>
        <w:pStyle w:val="3"/>
        <w:spacing w:line="460" w:lineRule="exact"/>
        <w:ind w:firstLine="562" w:firstLineChars="200"/>
        <w:rPr>
          <w:rFonts w:ascii="仿宋" w:hAnsi="仿宋" w:eastAsia="仿宋" w:cs="仿宋"/>
          <w:b/>
          <w:color w:val="auto"/>
          <w:sz w:val="28"/>
          <w:szCs w:val="28"/>
          <w:highlight w:val="none"/>
        </w:rPr>
      </w:pPr>
      <w:r>
        <w:rPr>
          <w:rFonts w:hint="eastAsia" w:ascii="仿宋" w:hAnsi="仿宋" w:eastAsia="仿宋" w:cs="仿宋"/>
          <w:b/>
          <w:color w:val="auto"/>
          <w:sz w:val="28"/>
          <w:szCs w:val="28"/>
          <w:highlight w:val="none"/>
        </w:rPr>
        <w:t>四、报名与遴选文件获取：</w:t>
      </w:r>
    </w:p>
    <w:p w14:paraId="354368E2">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1</w:t>
      </w:r>
      <w:r>
        <w:rPr>
          <w:rFonts w:hint="eastAsia" w:ascii="仿宋" w:hAnsi="仿宋" w:eastAsia="仿宋" w:cs="仿宋"/>
          <w:color w:val="auto"/>
          <w:sz w:val="28"/>
          <w:szCs w:val="28"/>
          <w:highlight w:val="none"/>
        </w:rPr>
        <w:t>、时间：202</w:t>
      </w:r>
      <w:r>
        <w:rPr>
          <w:rFonts w:hint="eastAsia" w:ascii="仿宋" w:hAnsi="仿宋" w:eastAsia="仿宋" w:cs="仿宋"/>
          <w:color w:val="auto"/>
          <w:sz w:val="28"/>
          <w:szCs w:val="28"/>
          <w:highlight w:val="none"/>
          <w:lang w:val="en-US" w:eastAsia="zh-CN"/>
        </w:rPr>
        <w:t>4</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val="en-US" w:eastAsia="zh-CN"/>
        </w:rPr>
        <w:t>04</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14</w:t>
      </w:r>
      <w:r>
        <w:rPr>
          <w:rFonts w:hint="eastAsia" w:ascii="仿宋" w:hAnsi="仿宋" w:eastAsia="仿宋" w:cs="仿宋"/>
          <w:color w:val="auto"/>
          <w:sz w:val="28"/>
          <w:szCs w:val="28"/>
          <w:highlight w:val="none"/>
        </w:rPr>
        <w:t>日</w:t>
      </w:r>
      <w:r>
        <w:rPr>
          <w:rFonts w:hint="eastAsia" w:ascii="仿宋" w:hAnsi="仿宋" w:eastAsia="仿宋" w:cs="仿宋"/>
          <w:color w:val="auto"/>
          <w:sz w:val="28"/>
          <w:szCs w:val="28"/>
          <w:highlight w:val="none"/>
          <w:lang w:val="en-US" w:eastAsia="zh-CN"/>
        </w:rPr>
        <w:t>09</w:t>
      </w:r>
      <w:r>
        <w:rPr>
          <w:rFonts w:hint="eastAsia" w:ascii="仿宋" w:hAnsi="仿宋" w:eastAsia="仿宋" w:cs="仿宋"/>
          <w:color w:val="auto"/>
          <w:sz w:val="28"/>
          <w:szCs w:val="28"/>
          <w:highlight w:val="none"/>
        </w:rPr>
        <w:t>时</w:t>
      </w:r>
      <w:r>
        <w:rPr>
          <w:rFonts w:hint="eastAsia" w:ascii="仿宋" w:hAnsi="仿宋" w:eastAsia="仿宋" w:cs="仿宋"/>
          <w:color w:val="auto"/>
          <w:sz w:val="28"/>
          <w:szCs w:val="28"/>
          <w:highlight w:val="none"/>
          <w:lang w:val="en-US" w:eastAsia="zh-CN"/>
        </w:rPr>
        <w:t>00</w:t>
      </w:r>
      <w:r>
        <w:rPr>
          <w:rFonts w:hint="eastAsia" w:ascii="仿宋" w:hAnsi="仿宋" w:eastAsia="仿宋" w:cs="仿宋"/>
          <w:color w:val="auto"/>
          <w:sz w:val="28"/>
          <w:szCs w:val="28"/>
          <w:highlight w:val="none"/>
        </w:rPr>
        <w:t>分至202</w:t>
      </w:r>
      <w:r>
        <w:rPr>
          <w:rFonts w:hint="eastAsia" w:ascii="仿宋" w:hAnsi="仿宋" w:eastAsia="仿宋" w:cs="仿宋"/>
          <w:color w:val="auto"/>
          <w:sz w:val="28"/>
          <w:szCs w:val="28"/>
          <w:highlight w:val="none"/>
          <w:lang w:val="en-US" w:eastAsia="zh-CN"/>
        </w:rPr>
        <w:t>4</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val="en-US" w:eastAsia="zh-CN"/>
        </w:rPr>
        <w:t>04</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18</w:t>
      </w:r>
      <w:r>
        <w:rPr>
          <w:rFonts w:hint="eastAsia" w:ascii="仿宋" w:hAnsi="仿宋" w:eastAsia="仿宋" w:cs="仿宋"/>
          <w:color w:val="auto"/>
          <w:sz w:val="28"/>
          <w:szCs w:val="28"/>
          <w:highlight w:val="none"/>
        </w:rPr>
        <w:t>日</w:t>
      </w:r>
      <w:r>
        <w:rPr>
          <w:rFonts w:hint="eastAsia" w:ascii="仿宋" w:hAnsi="仿宋" w:eastAsia="仿宋" w:cs="仿宋"/>
          <w:color w:val="auto"/>
          <w:sz w:val="28"/>
          <w:szCs w:val="28"/>
          <w:highlight w:val="none"/>
          <w:lang w:val="en-US" w:eastAsia="zh-CN"/>
        </w:rPr>
        <w:t>17</w:t>
      </w:r>
      <w:r>
        <w:rPr>
          <w:rFonts w:hint="eastAsia" w:ascii="仿宋" w:hAnsi="仿宋" w:eastAsia="仿宋" w:cs="仿宋"/>
          <w:color w:val="auto"/>
          <w:sz w:val="28"/>
          <w:szCs w:val="28"/>
          <w:highlight w:val="none"/>
        </w:rPr>
        <w:t>时</w:t>
      </w:r>
      <w:r>
        <w:rPr>
          <w:rFonts w:hint="eastAsia" w:ascii="仿宋" w:hAnsi="仿宋" w:eastAsia="仿宋" w:cs="仿宋"/>
          <w:color w:val="auto"/>
          <w:sz w:val="28"/>
          <w:szCs w:val="28"/>
          <w:highlight w:val="none"/>
          <w:lang w:val="en-US" w:eastAsia="zh-CN"/>
        </w:rPr>
        <w:t>00</w:t>
      </w:r>
      <w:r>
        <w:rPr>
          <w:rFonts w:hint="eastAsia" w:ascii="仿宋" w:hAnsi="仿宋" w:eastAsia="仿宋" w:cs="仿宋"/>
          <w:color w:val="auto"/>
          <w:sz w:val="28"/>
          <w:szCs w:val="28"/>
          <w:highlight w:val="none"/>
        </w:rPr>
        <w:t>分；</w:t>
      </w:r>
    </w:p>
    <w:p w14:paraId="077372EB">
      <w:pPr>
        <w:pStyle w:val="3"/>
        <w:spacing w:line="460" w:lineRule="exact"/>
        <w:ind w:firstLine="560" w:firstLineChars="200"/>
        <w:rPr>
          <w:rFonts w:hint="default"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rPr>
        <w:t>2、地点：</w:t>
      </w:r>
      <w:r>
        <w:rPr>
          <w:rFonts w:hint="eastAsia" w:ascii="仿宋" w:hAnsi="仿宋" w:eastAsia="仿宋" w:cs="仿宋"/>
          <w:color w:val="auto"/>
          <w:sz w:val="28"/>
          <w:szCs w:val="28"/>
          <w:highlight w:val="none"/>
          <w:lang w:val="en-US" w:eastAsia="zh-CN"/>
        </w:rPr>
        <w:t>洛阳市交通运输事业发展中心704室。</w:t>
      </w:r>
    </w:p>
    <w:p w14:paraId="0E97AA0B">
      <w:pPr>
        <w:pStyle w:val="3"/>
        <w:spacing w:line="460" w:lineRule="exact"/>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3、遴选文件获取方式：报名后领取遴选文件。</w:t>
      </w:r>
    </w:p>
    <w:p w14:paraId="1FF1B6AF">
      <w:pPr>
        <w:pStyle w:val="3"/>
        <w:spacing w:line="460" w:lineRule="exact"/>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报名时须携带：①法定代表人本人身份证或授权代理人携带本人身份证及授权委托书（原件）、②营业执照、税务登记、组织机构代码证（或三证合一）原件</w:t>
      </w:r>
      <w:r>
        <w:rPr>
          <w:rFonts w:hint="eastAsia" w:ascii="仿宋" w:hAnsi="仿宋" w:eastAsia="仿宋" w:cs="仿宋"/>
          <w:color w:val="auto"/>
          <w:sz w:val="28"/>
          <w:szCs w:val="28"/>
          <w:highlight w:val="none"/>
          <w:lang w:val="en-US" w:eastAsia="zh-CN"/>
        </w:rPr>
        <w:t>复印件并加盖公章</w:t>
      </w:r>
      <w:r>
        <w:rPr>
          <w:rFonts w:hint="eastAsia" w:ascii="仿宋" w:hAnsi="仿宋" w:eastAsia="仿宋" w:cs="仿宋"/>
          <w:color w:val="auto"/>
          <w:sz w:val="28"/>
          <w:szCs w:val="28"/>
          <w:highlight w:val="none"/>
        </w:rPr>
        <w:t>。</w:t>
      </w:r>
    </w:p>
    <w:p w14:paraId="2F67C4C8">
      <w:pPr>
        <w:pStyle w:val="3"/>
        <w:spacing w:line="460" w:lineRule="exact"/>
        <w:ind w:firstLine="562" w:firstLineChars="200"/>
        <w:rPr>
          <w:rFonts w:ascii="仿宋" w:hAnsi="仿宋" w:eastAsia="仿宋" w:cs="仿宋"/>
          <w:b/>
          <w:color w:val="auto"/>
          <w:sz w:val="28"/>
          <w:szCs w:val="28"/>
          <w:highlight w:val="none"/>
        </w:rPr>
      </w:pPr>
      <w:r>
        <w:rPr>
          <w:rFonts w:hint="eastAsia" w:ascii="仿宋" w:hAnsi="仿宋" w:eastAsia="仿宋" w:cs="仿宋"/>
          <w:b/>
          <w:color w:val="auto"/>
          <w:sz w:val="28"/>
          <w:szCs w:val="28"/>
          <w:highlight w:val="none"/>
        </w:rPr>
        <w:t>五、遴选响应文件的递交及开标</w:t>
      </w:r>
    </w:p>
    <w:p w14:paraId="45A11D12">
      <w:pPr>
        <w:pStyle w:val="3"/>
        <w:spacing w:line="460" w:lineRule="exact"/>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1、递交响应文件的截止时间(开标时间):202</w:t>
      </w:r>
      <w:r>
        <w:rPr>
          <w:rFonts w:hint="eastAsia" w:ascii="仿宋" w:hAnsi="仿宋" w:eastAsia="仿宋" w:cs="仿宋"/>
          <w:color w:val="auto"/>
          <w:sz w:val="28"/>
          <w:szCs w:val="28"/>
          <w:highlight w:val="none"/>
          <w:lang w:val="en-US" w:eastAsia="zh-CN"/>
        </w:rPr>
        <w:t>5</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val="en-US" w:eastAsia="zh-CN"/>
        </w:rPr>
        <w:t>04</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21</w:t>
      </w:r>
      <w:r>
        <w:rPr>
          <w:rFonts w:hint="eastAsia" w:ascii="仿宋" w:hAnsi="仿宋" w:eastAsia="仿宋" w:cs="仿宋"/>
          <w:color w:val="auto"/>
          <w:sz w:val="28"/>
          <w:szCs w:val="28"/>
          <w:highlight w:val="none"/>
        </w:rPr>
        <w:t>日</w:t>
      </w:r>
      <w:r>
        <w:rPr>
          <w:rFonts w:hint="eastAsia" w:ascii="仿宋" w:hAnsi="仿宋" w:eastAsia="仿宋" w:cs="仿宋"/>
          <w:color w:val="auto"/>
          <w:sz w:val="28"/>
          <w:szCs w:val="28"/>
          <w:highlight w:val="none"/>
          <w:lang w:val="en-US" w:eastAsia="zh-CN"/>
        </w:rPr>
        <w:t>10</w:t>
      </w:r>
      <w:r>
        <w:rPr>
          <w:rFonts w:hint="eastAsia" w:ascii="仿宋" w:hAnsi="仿宋" w:eastAsia="仿宋" w:cs="仿宋"/>
          <w:color w:val="auto"/>
          <w:sz w:val="28"/>
          <w:szCs w:val="28"/>
          <w:highlight w:val="none"/>
        </w:rPr>
        <w:t>时</w:t>
      </w:r>
      <w:r>
        <w:rPr>
          <w:rFonts w:hint="eastAsia" w:ascii="仿宋" w:hAnsi="仿宋" w:eastAsia="仿宋" w:cs="仿宋"/>
          <w:color w:val="auto"/>
          <w:sz w:val="28"/>
          <w:szCs w:val="28"/>
          <w:highlight w:val="none"/>
          <w:lang w:val="en-US" w:eastAsia="zh-CN"/>
        </w:rPr>
        <w:t>00</w:t>
      </w:r>
      <w:r>
        <w:rPr>
          <w:rFonts w:hint="eastAsia" w:ascii="仿宋" w:hAnsi="仿宋" w:eastAsia="仿宋" w:cs="仿宋"/>
          <w:color w:val="auto"/>
          <w:sz w:val="28"/>
          <w:szCs w:val="28"/>
          <w:highlight w:val="none"/>
        </w:rPr>
        <w:t>分；</w:t>
      </w:r>
    </w:p>
    <w:p w14:paraId="552C5C50">
      <w:pPr>
        <w:pStyle w:val="3"/>
        <w:spacing w:line="460" w:lineRule="exact"/>
        <w:ind w:firstLine="560" w:firstLineChars="200"/>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rPr>
        <w:t>2、地点：响应文件递交地点洛阳市交通运输事业发展中心615会议室</w:t>
      </w:r>
      <w:r>
        <w:rPr>
          <w:rFonts w:hint="eastAsia" w:ascii="仿宋" w:hAnsi="仿宋" w:eastAsia="仿宋" w:cs="仿宋"/>
          <w:color w:val="auto"/>
          <w:sz w:val="28"/>
          <w:szCs w:val="28"/>
          <w:highlight w:val="none"/>
          <w:lang w:eastAsia="zh-CN"/>
        </w:rPr>
        <w:t>。</w:t>
      </w:r>
    </w:p>
    <w:p w14:paraId="6A22B01C">
      <w:pPr>
        <w:pStyle w:val="3"/>
        <w:spacing w:line="460" w:lineRule="exact"/>
        <w:ind w:firstLine="560" w:firstLineChars="200"/>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rPr>
        <w:t>已报名的单位递交相关遴选响应纸质文件（包括正本1份，副本2份），逾期视为放弃；参与遴选的单位对递交资料的合法性、真实性、完整性、准确性负法律责</w:t>
      </w:r>
      <w:r>
        <w:rPr>
          <w:rFonts w:hint="eastAsia" w:ascii="仿宋" w:hAnsi="仿宋" w:eastAsia="仿宋" w:cs="仿宋"/>
          <w:color w:val="auto"/>
          <w:sz w:val="28"/>
          <w:szCs w:val="28"/>
          <w:highlight w:val="none"/>
          <w:lang w:eastAsia="zh-CN"/>
        </w:rPr>
        <w:t>。</w:t>
      </w:r>
    </w:p>
    <w:p w14:paraId="7B9A1087">
      <w:pPr>
        <w:tabs>
          <w:tab w:val="left" w:pos="2127"/>
        </w:tabs>
        <w:spacing w:line="360" w:lineRule="exact"/>
        <w:ind w:firstLine="562" w:firstLineChars="200"/>
        <w:rPr>
          <w:rFonts w:ascii="仿宋" w:hAnsi="仿宋" w:eastAsia="仿宋" w:cs="仿宋"/>
          <w:b/>
          <w:color w:val="auto"/>
          <w:sz w:val="28"/>
          <w:szCs w:val="28"/>
          <w:highlight w:val="none"/>
        </w:rPr>
      </w:pPr>
      <w:bookmarkStart w:id="0" w:name="_Toc14801"/>
      <w:r>
        <w:rPr>
          <w:rFonts w:hint="eastAsia" w:ascii="仿宋" w:hAnsi="仿宋" w:eastAsia="仿宋" w:cs="仿宋"/>
          <w:b/>
          <w:color w:val="auto"/>
          <w:sz w:val="28"/>
          <w:szCs w:val="28"/>
          <w:highlight w:val="none"/>
          <w:lang w:val="en-US" w:eastAsia="zh-CN"/>
        </w:rPr>
        <w:t>六</w:t>
      </w:r>
      <w:r>
        <w:rPr>
          <w:rFonts w:hint="eastAsia" w:ascii="仿宋" w:hAnsi="仿宋" w:eastAsia="仿宋" w:cs="仿宋"/>
          <w:b/>
          <w:color w:val="auto"/>
          <w:sz w:val="28"/>
          <w:szCs w:val="28"/>
          <w:highlight w:val="none"/>
        </w:rPr>
        <w:t>、遴选结果评议</w:t>
      </w:r>
    </w:p>
    <w:p w14:paraId="49183E17">
      <w:pPr>
        <w:tabs>
          <w:tab w:val="left" w:pos="2127"/>
        </w:tabs>
        <w:spacing w:line="360" w:lineRule="exact"/>
        <w:ind w:firstLine="560" w:firstLineChars="200"/>
        <w:rPr>
          <w:rFonts w:ascii="仿宋" w:hAnsi="仿宋" w:eastAsia="仿宋" w:cs="仿宋"/>
          <w:color w:val="auto"/>
          <w:sz w:val="28"/>
          <w:szCs w:val="28"/>
          <w:highlight w:val="none"/>
        </w:rPr>
      </w:pPr>
      <w:r>
        <w:rPr>
          <w:rFonts w:hint="eastAsia" w:ascii="仿宋" w:hAnsi="仿宋" w:eastAsia="仿宋" w:cs="仿宋"/>
          <w:bCs/>
          <w:color w:val="auto"/>
          <w:sz w:val="28"/>
          <w:szCs w:val="28"/>
          <w:highlight w:val="none"/>
        </w:rPr>
        <w:t>我中心组织专家组进行评审，专家组将按照《招标代理机构遴选详细评审表》进行综合评分，以得分高低进行排名，确定第1名为最终选定单位。中心纪委全程监督遴选评审过程。</w:t>
      </w:r>
    </w:p>
    <w:p w14:paraId="006356BF">
      <w:pPr>
        <w:tabs>
          <w:tab w:val="left" w:pos="2127"/>
        </w:tabs>
        <w:spacing w:line="360" w:lineRule="exact"/>
        <w:ind w:firstLine="562" w:firstLineChars="200"/>
        <w:rPr>
          <w:rFonts w:ascii="仿宋" w:hAnsi="仿宋" w:eastAsia="仿宋" w:cs="仿宋"/>
          <w:b/>
          <w:color w:val="auto"/>
          <w:sz w:val="28"/>
          <w:szCs w:val="28"/>
          <w:highlight w:val="none"/>
        </w:rPr>
      </w:pPr>
      <w:r>
        <w:rPr>
          <w:rFonts w:hint="eastAsia" w:ascii="仿宋" w:hAnsi="仿宋" w:eastAsia="仿宋" w:cs="仿宋"/>
          <w:b/>
          <w:color w:val="auto"/>
          <w:sz w:val="28"/>
          <w:szCs w:val="28"/>
          <w:highlight w:val="none"/>
          <w:lang w:val="en-US" w:eastAsia="zh-CN"/>
        </w:rPr>
        <w:t>七</w:t>
      </w:r>
      <w:r>
        <w:rPr>
          <w:rFonts w:hint="eastAsia" w:ascii="仿宋" w:hAnsi="仿宋" w:eastAsia="仿宋" w:cs="仿宋"/>
          <w:b/>
          <w:color w:val="auto"/>
          <w:sz w:val="28"/>
          <w:szCs w:val="28"/>
          <w:highlight w:val="none"/>
        </w:rPr>
        <w:t>、公示</w:t>
      </w:r>
    </w:p>
    <w:p w14:paraId="74BFAA4C">
      <w:pPr>
        <w:tabs>
          <w:tab w:val="left" w:pos="2127"/>
        </w:tabs>
        <w:spacing w:line="360" w:lineRule="exact"/>
        <w:ind w:firstLine="560" w:firstLineChars="200"/>
        <w:rPr>
          <w:rFonts w:hint="eastAsia" w:ascii="仿宋" w:hAnsi="仿宋" w:eastAsia="仿宋" w:cs="仿宋"/>
          <w:bCs/>
          <w:color w:val="auto"/>
          <w:sz w:val="28"/>
          <w:szCs w:val="28"/>
          <w:highlight w:val="none"/>
          <w:lang w:val="en-US" w:eastAsia="zh-CN"/>
        </w:rPr>
      </w:pPr>
      <w:r>
        <w:rPr>
          <w:rFonts w:hint="eastAsia" w:ascii="仿宋" w:hAnsi="仿宋" w:eastAsia="仿宋" w:cs="仿宋"/>
          <w:bCs/>
          <w:color w:val="auto"/>
          <w:sz w:val="28"/>
          <w:szCs w:val="28"/>
          <w:highlight w:val="none"/>
          <w:lang w:val="en-US" w:eastAsia="zh-CN"/>
        </w:rPr>
        <w:t>本次遴选公告、遴选结果公告将在《洛阳市交通运输局官网》、《洛阳市交通事业发展中心官网》公示。</w:t>
      </w:r>
    </w:p>
    <w:p w14:paraId="0E99945E">
      <w:pPr>
        <w:tabs>
          <w:tab w:val="left" w:pos="2127"/>
        </w:tabs>
        <w:spacing w:line="360" w:lineRule="exact"/>
        <w:ind w:firstLine="562" w:firstLineChars="200"/>
        <w:rPr>
          <w:rFonts w:ascii="仿宋" w:hAnsi="仿宋" w:eastAsia="仿宋" w:cs="仿宋"/>
          <w:b/>
          <w:color w:val="auto"/>
          <w:sz w:val="28"/>
          <w:szCs w:val="28"/>
          <w:highlight w:val="none"/>
        </w:rPr>
      </w:pPr>
      <w:r>
        <w:rPr>
          <w:rFonts w:hint="eastAsia" w:ascii="仿宋" w:hAnsi="仿宋" w:eastAsia="仿宋" w:cs="仿宋"/>
          <w:b/>
          <w:color w:val="auto"/>
          <w:sz w:val="28"/>
          <w:szCs w:val="28"/>
          <w:highlight w:val="none"/>
          <w:lang w:val="en-US" w:eastAsia="zh-CN"/>
        </w:rPr>
        <w:t>八</w:t>
      </w:r>
      <w:r>
        <w:rPr>
          <w:rFonts w:hint="eastAsia" w:ascii="仿宋" w:hAnsi="仿宋" w:eastAsia="仿宋" w:cs="仿宋"/>
          <w:b/>
          <w:color w:val="auto"/>
          <w:sz w:val="28"/>
          <w:szCs w:val="28"/>
          <w:highlight w:val="none"/>
        </w:rPr>
        <w:t>、采购人及联系方式</w:t>
      </w:r>
    </w:p>
    <w:p w14:paraId="28B31C5B">
      <w:pPr>
        <w:pStyle w:val="3"/>
        <w:spacing w:line="360" w:lineRule="exact"/>
        <w:ind w:firstLine="560" w:firstLineChars="20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rPr>
        <w:t>采购人：</w:t>
      </w:r>
      <w:r>
        <w:rPr>
          <w:rFonts w:hint="eastAsia" w:ascii="仿宋" w:hAnsi="仿宋" w:eastAsia="仿宋" w:cs="仿宋"/>
          <w:color w:val="auto"/>
          <w:sz w:val="28"/>
          <w:szCs w:val="28"/>
          <w:highlight w:val="none"/>
          <w:lang w:val="en-US" w:eastAsia="zh-CN"/>
        </w:rPr>
        <w:t>洛阳市交通运输局、洛阳市交通事业发展中心</w:t>
      </w:r>
    </w:p>
    <w:p w14:paraId="14A06210">
      <w:pPr>
        <w:pStyle w:val="3"/>
        <w:spacing w:line="360" w:lineRule="exact"/>
        <w:ind w:firstLine="560" w:firstLineChars="200"/>
        <w:rPr>
          <w:rFonts w:hint="default"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rPr>
        <w:t>联系人及电话：郑先生</w:t>
      </w:r>
      <w:r>
        <w:rPr>
          <w:rFonts w:hint="eastAsia" w:ascii="仿宋" w:hAnsi="仿宋" w:eastAsia="仿宋" w:cs="仿宋"/>
          <w:color w:val="auto"/>
          <w:sz w:val="28"/>
          <w:szCs w:val="28"/>
          <w:highlight w:val="none"/>
          <w:lang w:val="en-US" w:eastAsia="zh-CN"/>
        </w:rPr>
        <w:t xml:space="preserve">  </w:t>
      </w:r>
      <w:r>
        <w:rPr>
          <w:rFonts w:hint="eastAsia" w:ascii="仿宋" w:hAnsi="仿宋" w:eastAsia="仿宋" w:cs="仿宋"/>
          <w:color w:val="auto"/>
          <w:sz w:val="28"/>
          <w:szCs w:val="28"/>
          <w:highlight w:val="none"/>
        </w:rPr>
        <w:t xml:space="preserve"> 15138769165</w:t>
      </w:r>
      <w:r>
        <w:rPr>
          <w:rFonts w:hint="eastAsia" w:ascii="仿宋" w:hAnsi="仿宋" w:eastAsia="仿宋" w:cs="仿宋"/>
          <w:color w:val="auto"/>
          <w:sz w:val="28"/>
          <w:szCs w:val="28"/>
          <w:highlight w:val="none"/>
          <w:lang w:val="en-US" w:eastAsia="zh-CN"/>
        </w:rPr>
        <w:t xml:space="preserve"> </w:t>
      </w:r>
    </w:p>
    <w:p w14:paraId="1C314DC2">
      <w:pPr>
        <w:tabs>
          <w:tab w:val="left" w:pos="2127"/>
        </w:tabs>
        <w:spacing w:line="360" w:lineRule="exact"/>
        <w:ind w:firstLine="560" w:firstLineChars="200"/>
        <w:jc w:val="right"/>
        <w:rPr>
          <w:rFonts w:ascii="仿宋" w:hAnsi="仿宋" w:eastAsia="仿宋" w:cs="仿宋"/>
          <w:color w:val="auto"/>
          <w:sz w:val="28"/>
          <w:szCs w:val="28"/>
          <w:highlight w:val="none"/>
        </w:rPr>
      </w:pPr>
    </w:p>
    <w:p w14:paraId="0235B09D">
      <w:pPr>
        <w:tabs>
          <w:tab w:val="left" w:pos="2127"/>
        </w:tabs>
        <w:spacing w:line="360" w:lineRule="exact"/>
        <w:ind w:firstLine="560" w:firstLineChars="200"/>
        <w:jc w:val="right"/>
        <w:rPr>
          <w:rFonts w:hint="eastAsia" w:ascii="仿宋" w:hAnsi="仿宋" w:eastAsia="仿宋" w:cs="仿宋"/>
          <w:color w:val="auto"/>
          <w:sz w:val="28"/>
          <w:szCs w:val="28"/>
          <w:highlight w:val="none"/>
        </w:rPr>
      </w:pPr>
    </w:p>
    <w:p w14:paraId="10B149CA">
      <w:pPr>
        <w:tabs>
          <w:tab w:val="left" w:pos="2127"/>
        </w:tabs>
        <w:spacing w:line="360" w:lineRule="exact"/>
        <w:ind w:firstLine="560" w:firstLineChars="200"/>
        <w:jc w:val="right"/>
        <w:rPr>
          <w:rFonts w:hint="eastAsia" w:ascii="仿宋" w:hAnsi="仿宋" w:eastAsia="仿宋" w:cs="仿宋"/>
          <w:color w:val="auto"/>
          <w:sz w:val="28"/>
          <w:szCs w:val="28"/>
          <w:highlight w:val="none"/>
        </w:rPr>
      </w:pPr>
    </w:p>
    <w:p w14:paraId="1A5688C6">
      <w:pPr>
        <w:tabs>
          <w:tab w:val="left" w:pos="2127"/>
        </w:tabs>
        <w:spacing w:line="360" w:lineRule="exact"/>
        <w:ind w:firstLine="5320" w:firstLineChars="1900"/>
        <w:jc w:val="both"/>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lang w:val="en-US" w:eastAsia="zh-CN"/>
        </w:rPr>
        <w:t xml:space="preserve"> </w:t>
      </w:r>
    </w:p>
    <w:p w14:paraId="4E3ED24D">
      <w:pPr>
        <w:tabs>
          <w:tab w:val="left" w:pos="2127"/>
        </w:tabs>
        <w:spacing w:line="360" w:lineRule="exact"/>
        <w:ind w:firstLine="560" w:firstLineChars="200"/>
        <w:jc w:val="right"/>
        <w:rPr>
          <w:rFonts w:ascii="仿宋" w:hAnsi="仿宋" w:eastAsia="仿宋" w:cs="仿宋"/>
          <w:color w:val="auto"/>
          <w:sz w:val="28"/>
          <w:szCs w:val="28"/>
          <w:highlight w:val="none"/>
        </w:rPr>
      </w:pPr>
    </w:p>
    <w:p w14:paraId="50A9014B">
      <w:pPr>
        <w:tabs>
          <w:tab w:val="left" w:pos="2127"/>
        </w:tabs>
        <w:spacing w:line="360" w:lineRule="exact"/>
        <w:ind w:firstLine="560" w:firstLineChars="200"/>
        <w:jc w:val="center"/>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 xml:space="preserve">                          </w:t>
      </w:r>
      <w:r>
        <w:rPr>
          <w:rFonts w:ascii="仿宋" w:hAnsi="仿宋" w:eastAsia="仿宋" w:cs="仿宋"/>
          <w:color w:val="auto"/>
          <w:sz w:val="28"/>
          <w:szCs w:val="28"/>
          <w:highlight w:val="none"/>
        </w:rPr>
        <w:t>202</w:t>
      </w:r>
      <w:r>
        <w:rPr>
          <w:rFonts w:hint="eastAsia" w:ascii="仿宋" w:hAnsi="仿宋" w:eastAsia="仿宋" w:cs="仿宋"/>
          <w:color w:val="auto"/>
          <w:sz w:val="28"/>
          <w:szCs w:val="28"/>
          <w:highlight w:val="none"/>
          <w:lang w:val="en-US" w:eastAsia="zh-CN"/>
        </w:rPr>
        <w:t>5</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val="en-US" w:eastAsia="zh-CN"/>
        </w:rPr>
        <w:t>04</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11</w:t>
      </w:r>
      <w:r>
        <w:rPr>
          <w:rFonts w:hint="eastAsia" w:ascii="仿宋" w:hAnsi="仿宋" w:eastAsia="仿宋" w:cs="仿宋"/>
          <w:color w:val="auto"/>
          <w:sz w:val="28"/>
          <w:szCs w:val="28"/>
          <w:highlight w:val="none"/>
        </w:rPr>
        <w:t>日</w:t>
      </w:r>
    </w:p>
    <w:bookmarkEnd w:id="0"/>
    <w:p w14:paraId="3CE5535E">
      <w:pPr>
        <w:rPr>
          <w:rFonts w:ascii="仿宋" w:hAnsi="仿宋" w:eastAsia="仿宋" w:cs="仿宋"/>
          <w:b/>
          <w:bCs/>
          <w:color w:val="auto"/>
          <w:sz w:val="32"/>
          <w:szCs w:val="32"/>
          <w:highlight w:val="none"/>
        </w:rPr>
      </w:pP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B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CF9C6D">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62BB12">
    <w:pPr>
      <w:pStyle w:val="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7073B51"/>
    <w:multiLevelType w:val="multilevel"/>
    <w:tmpl w:val="67073B51"/>
    <w:lvl w:ilvl="0" w:tentative="0">
      <w:start w:val="1"/>
      <w:numFmt w:val="japaneseCounting"/>
      <w:lvlText w:val="%1、"/>
      <w:lvlJc w:val="left"/>
      <w:pPr>
        <w:tabs>
          <w:tab w:val="left" w:pos="1280"/>
        </w:tabs>
        <w:ind w:left="1280" w:hanging="720"/>
      </w:pPr>
      <w:rPr>
        <w:rFonts w:hint="default" w:cs="Times New Roman"/>
      </w:rPr>
    </w:lvl>
    <w:lvl w:ilvl="1" w:tentative="0">
      <w:start w:val="1"/>
      <w:numFmt w:val="lowerLetter"/>
      <w:lvlText w:val="%2)"/>
      <w:lvlJc w:val="left"/>
      <w:pPr>
        <w:tabs>
          <w:tab w:val="left" w:pos="1400"/>
        </w:tabs>
        <w:ind w:left="1400" w:hanging="420"/>
      </w:pPr>
      <w:rPr>
        <w:rFonts w:cs="Times New Roman"/>
      </w:rPr>
    </w:lvl>
    <w:lvl w:ilvl="2" w:tentative="0">
      <w:start w:val="1"/>
      <w:numFmt w:val="lowerRoman"/>
      <w:lvlText w:val="%3."/>
      <w:lvlJc w:val="right"/>
      <w:pPr>
        <w:tabs>
          <w:tab w:val="left" w:pos="1820"/>
        </w:tabs>
        <w:ind w:left="1820" w:hanging="420"/>
      </w:pPr>
      <w:rPr>
        <w:rFonts w:cs="Times New Roman"/>
      </w:rPr>
    </w:lvl>
    <w:lvl w:ilvl="3" w:tentative="0">
      <w:start w:val="1"/>
      <w:numFmt w:val="decimal"/>
      <w:lvlText w:val="%4."/>
      <w:lvlJc w:val="left"/>
      <w:pPr>
        <w:tabs>
          <w:tab w:val="left" w:pos="2240"/>
        </w:tabs>
        <w:ind w:left="2240" w:hanging="420"/>
      </w:pPr>
      <w:rPr>
        <w:rFonts w:cs="Times New Roman"/>
      </w:rPr>
    </w:lvl>
    <w:lvl w:ilvl="4" w:tentative="0">
      <w:start w:val="1"/>
      <w:numFmt w:val="lowerLetter"/>
      <w:lvlText w:val="%5)"/>
      <w:lvlJc w:val="left"/>
      <w:pPr>
        <w:tabs>
          <w:tab w:val="left" w:pos="2660"/>
        </w:tabs>
        <w:ind w:left="2660" w:hanging="420"/>
      </w:pPr>
      <w:rPr>
        <w:rFonts w:cs="Times New Roman"/>
      </w:rPr>
    </w:lvl>
    <w:lvl w:ilvl="5" w:tentative="0">
      <w:start w:val="1"/>
      <w:numFmt w:val="lowerRoman"/>
      <w:lvlText w:val="%6."/>
      <w:lvlJc w:val="right"/>
      <w:pPr>
        <w:tabs>
          <w:tab w:val="left" w:pos="3080"/>
        </w:tabs>
        <w:ind w:left="3080" w:hanging="420"/>
      </w:pPr>
      <w:rPr>
        <w:rFonts w:cs="Times New Roman"/>
      </w:rPr>
    </w:lvl>
    <w:lvl w:ilvl="6" w:tentative="0">
      <w:start w:val="1"/>
      <w:numFmt w:val="decimal"/>
      <w:lvlText w:val="%7."/>
      <w:lvlJc w:val="left"/>
      <w:pPr>
        <w:tabs>
          <w:tab w:val="left" w:pos="3500"/>
        </w:tabs>
        <w:ind w:left="3500" w:hanging="420"/>
      </w:pPr>
      <w:rPr>
        <w:rFonts w:cs="Times New Roman"/>
      </w:rPr>
    </w:lvl>
    <w:lvl w:ilvl="7" w:tentative="0">
      <w:start w:val="1"/>
      <w:numFmt w:val="lowerLetter"/>
      <w:lvlText w:val="%8)"/>
      <w:lvlJc w:val="left"/>
      <w:pPr>
        <w:tabs>
          <w:tab w:val="left" w:pos="3920"/>
        </w:tabs>
        <w:ind w:left="3920" w:hanging="420"/>
      </w:pPr>
      <w:rPr>
        <w:rFonts w:cs="Times New Roman"/>
      </w:rPr>
    </w:lvl>
    <w:lvl w:ilvl="8" w:tentative="0">
      <w:start w:val="1"/>
      <w:numFmt w:val="lowerRoman"/>
      <w:lvlText w:val="%9."/>
      <w:lvlJc w:val="right"/>
      <w:pPr>
        <w:tabs>
          <w:tab w:val="left" w:pos="4340"/>
        </w:tabs>
        <w:ind w:left="4340" w:hanging="42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RmMzk0MGRlMTEyZGE1ZjU3NDQzOTlmMzMyN2EwZTEifQ=="/>
  </w:docVars>
  <w:rsids>
    <w:rsidRoot w:val="12103DC7"/>
    <w:rsid w:val="0007116D"/>
    <w:rsid w:val="000D65E0"/>
    <w:rsid w:val="000F1F9D"/>
    <w:rsid w:val="001D7419"/>
    <w:rsid w:val="00245A8F"/>
    <w:rsid w:val="00260519"/>
    <w:rsid w:val="002A0E47"/>
    <w:rsid w:val="002B3FEB"/>
    <w:rsid w:val="00413120"/>
    <w:rsid w:val="004326D8"/>
    <w:rsid w:val="00474B03"/>
    <w:rsid w:val="004E0935"/>
    <w:rsid w:val="005A79C3"/>
    <w:rsid w:val="005F367B"/>
    <w:rsid w:val="00654C98"/>
    <w:rsid w:val="006B6A21"/>
    <w:rsid w:val="006B70C2"/>
    <w:rsid w:val="008261FA"/>
    <w:rsid w:val="00834E38"/>
    <w:rsid w:val="008751D9"/>
    <w:rsid w:val="008C08F7"/>
    <w:rsid w:val="00924D9B"/>
    <w:rsid w:val="009832A8"/>
    <w:rsid w:val="009A08EF"/>
    <w:rsid w:val="00A42ED1"/>
    <w:rsid w:val="00AE30B0"/>
    <w:rsid w:val="00AF7300"/>
    <w:rsid w:val="00B03BFF"/>
    <w:rsid w:val="00B04864"/>
    <w:rsid w:val="00B160AD"/>
    <w:rsid w:val="00B8072E"/>
    <w:rsid w:val="00CA39A9"/>
    <w:rsid w:val="00D83E44"/>
    <w:rsid w:val="00E022BB"/>
    <w:rsid w:val="00E222D2"/>
    <w:rsid w:val="00E429BB"/>
    <w:rsid w:val="00E72D73"/>
    <w:rsid w:val="00EB38E6"/>
    <w:rsid w:val="00EF3AA4"/>
    <w:rsid w:val="00FA5E63"/>
    <w:rsid w:val="01536131"/>
    <w:rsid w:val="01B50BA1"/>
    <w:rsid w:val="01C10B8E"/>
    <w:rsid w:val="02080516"/>
    <w:rsid w:val="023A109F"/>
    <w:rsid w:val="02870357"/>
    <w:rsid w:val="030656FC"/>
    <w:rsid w:val="03084CFA"/>
    <w:rsid w:val="03C3515A"/>
    <w:rsid w:val="04442C1F"/>
    <w:rsid w:val="04BB33AF"/>
    <w:rsid w:val="05216A3E"/>
    <w:rsid w:val="06625C55"/>
    <w:rsid w:val="06ED1227"/>
    <w:rsid w:val="081303C8"/>
    <w:rsid w:val="09141C71"/>
    <w:rsid w:val="0943612C"/>
    <w:rsid w:val="0B275F39"/>
    <w:rsid w:val="0CE42333"/>
    <w:rsid w:val="0E813BB2"/>
    <w:rsid w:val="0F1F0848"/>
    <w:rsid w:val="0FA55201"/>
    <w:rsid w:val="10C24C05"/>
    <w:rsid w:val="110E14CB"/>
    <w:rsid w:val="11AE237B"/>
    <w:rsid w:val="120720BC"/>
    <w:rsid w:val="12103DC7"/>
    <w:rsid w:val="124A6FB7"/>
    <w:rsid w:val="129A4859"/>
    <w:rsid w:val="13404ED0"/>
    <w:rsid w:val="13A75E69"/>
    <w:rsid w:val="14D6319C"/>
    <w:rsid w:val="14E27063"/>
    <w:rsid w:val="14FA2835"/>
    <w:rsid w:val="169E0FFE"/>
    <w:rsid w:val="18843664"/>
    <w:rsid w:val="197E3D7C"/>
    <w:rsid w:val="1ADA2FC8"/>
    <w:rsid w:val="1B06750C"/>
    <w:rsid w:val="1B1D3FA1"/>
    <w:rsid w:val="1B2D30F7"/>
    <w:rsid w:val="1BA702CF"/>
    <w:rsid w:val="1D855C9C"/>
    <w:rsid w:val="1D997D78"/>
    <w:rsid w:val="1E6C3F37"/>
    <w:rsid w:val="2076132C"/>
    <w:rsid w:val="21917E66"/>
    <w:rsid w:val="223D6DA5"/>
    <w:rsid w:val="22A53C23"/>
    <w:rsid w:val="237D33B0"/>
    <w:rsid w:val="25A641D2"/>
    <w:rsid w:val="261B27C7"/>
    <w:rsid w:val="262156B2"/>
    <w:rsid w:val="2641214D"/>
    <w:rsid w:val="28685CCA"/>
    <w:rsid w:val="28A713B3"/>
    <w:rsid w:val="29855670"/>
    <w:rsid w:val="298E56A9"/>
    <w:rsid w:val="2BD309F5"/>
    <w:rsid w:val="2C0F591E"/>
    <w:rsid w:val="2C311ACE"/>
    <w:rsid w:val="2D3A5DE6"/>
    <w:rsid w:val="2DB256DE"/>
    <w:rsid w:val="2E36630F"/>
    <w:rsid w:val="2F2F5238"/>
    <w:rsid w:val="2FDB350C"/>
    <w:rsid w:val="30617F84"/>
    <w:rsid w:val="340071A3"/>
    <w:rsid w:val="34B77194"/>
    <w:rsid w:val="351534BB"/>
    <w:rsid w:val="35A818A1"/>
    <w:rsid w:val="35A91140"/>
    <w:rsid w:val="36371A07"/>
    <w:rsid w:val="37776D2F"/>
    <w:rsid w:val="383855D2"/>
    <w:rsid w:val="38B239DC"/>
    <w:rsid w:val="3C1A16F8"/>
    <w:rsid w:val="3C5F4C83"/>
    <w:rsid w:val="3D922638"/>
    <w:rsid w:val="3D9A384D"/>
    <w:rsid w:val="3EC6723B"/>
    <w:rsid w:val="40EB0E18"/>
    <w:rsid w:val="418A4550"/>
    <w:rsid w:val="41A12453"/>
    <w:rsid w:val="42191648"/>
    <w:rsid w:val="432973AD"/>
    <w:rsid w:val="43CC2A7B"/>
    <w:rsid w:val="44A1408B"/>
    <w:rsid w:val="46737CA9"/>
    <w:rsid w:val="46BF297D"/>
    <w:rsid w:val="47410794"/>
    <w:rsid w:val="47424039"/>
    <w:rsid w:val="47783DFD"/>
    <w:rsid w:val="47827D71"/>
    <w:rsid w:val="488F0DE5"/>
    <w:rsid w:val="48B50826"/>
    <w:rsid w:val="48D34A2F"/>
    <w:rsid w:val="497004D0"/>
    <w:rsid w:val="49C03205"/>
    <w:rsid w:val="4A000E96"/>
    <w:rsid w:val="4A4B20DA"/>
    <w:rsid w:val="4C897F8C"/>
    <w:rsid w:val="4ED043AE"/>
    <w:rsid w:val="53BC2C8F"/>
    <w:rsid w:val="54120B01"/>
    <w:rsid w:val="54FB77E7"/>
    <w:rsid w:val="564D7162"/>
    <w:rsid w:val="56A00B49"/>
    <w:rsid w:val="584537DE"/>
    <w:rsid w:val="588954DC"/>
    <w:rsid w:val="58AC777F"/>
    <w:rsid w:val="59E84FFF"/>
    <w:rsid w:val="5C171BF3"/>
    <w:rsid w:val="5E9E0AD0"/>
    <w:rsid w:val="5ED35331"/>
    <w:rsid w:val="614E6EF1"/>
    <w:rsid w:val="61A84853"/>
    <w:rsid w:val="63AB062A"/>
    <w:rsid w:val="6AC63F9C"/>
    <w:rsid w:val="6AEE47B9"/>
    <w:rsid w:val="6B762964"/>
    <w:rsid w:val="6B8535B2"/>
    <w:rsid w:val="6E4D155A"/>
    <w:rsid w:val="6EE669BA"/>
    <w:rsid w:val="6F566D17"/>
    <w:rsid w:val="70194B6E"/>
    <w:rsid w:val="70AC59E2"/>
    <w:rsid w:val="711C61B5"/>
    <w:rsid w:val="729A7079"/>
    <w:rsid w:val="72EC6569"/>
    <w:rsid w:val="7444411D"/>
    <w:rsid w:val="756A13EC"/>
    <w:rsid w:val="75882579"/>
    <w:rsid w:val="765B5EE0"/>
    <w:rsid w:val="77617003"/>
    <w:rsid w:val="77834B5C"/>
    <w:rsid w:val="77E93077"/>
    <w:rsid w:val="78C544EF"/>
    <w:rsid w:val="79766B8D"/>
    <w:rsid w:val="79E24222"/>
    <w:rsid w:val="7B477D39"/>
    <w:rsid w:val="7BD209F2"/>
    <w:rsid w:val="7C7672E2"/>
    <w:rsid w:val="7D195AC8"/>
    <w:rsid w:val="7DD3341F"/>
    <w:rsid w:val="7E3B788A"/>
    <w:rsid w:val="7F5672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ody Text"/>
    <w:basedOn w:val="1"/>
    <w:qFormat/>
    <w:uiPriority w:val="0"/>
    <w:rPr>
      <w:rFonts w:eastAsia="仿宋_GB2312"/>
      <w:kern w:val="0"/>
      <w:sz w:val="30"/>
      <w:szCs w:val="20"/>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2917</Words>
  <Characters>2990</Characters>
  <Lines>27</Lines>
  <Paragraphs>7</Paragraphs>
  <TotalTime>18</TotalTime>
  <ScaleCrop>false</ScaleCrop>
  <LinksUpToDate>false</LinksUpToDate>
  <CharactersWithSpaces>3232</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2022-05-25T09:04:00Z</dcterms:created>
  <dc:creator>NTKO</dc:creator>
  <cp:lastModifiedBy>NTKO</cp:lastModifiedBy>
  <cp:lastPrinted>2022-11-10T08:54:00Z</cp:lastPrinted>
  <dcterms:modified xsi:type="dcterms:W3CDTF">2025-04-11T08:28:30Z</dcterms:modified>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878D9DEB0E5E40398E0530918042EDA0_13</vt:lpwstr>
  </property>
  <property fmtid="{D5CDD505-2E9C-101B-9397-08002B2CF9AE}" pid="4" name="KSOTemplateDocerSaveRecord">
    <vt:lpwstr>eyJoZGlkIjoiYmRiMmViNGVkOTM2NDYzZDk4YWE0YjBhNTAyZDMzNTkiLCJ1c2VySWQiOiI0MDU1NzUwOTIifQ==</vt:lpwstr>
  </property>
</Properties>
</file>